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footnotes.xml" ContentType="application/vnd.openxmlformats-officedocument.wordprocessingml.footnot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notes.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b/>
          <w:color w:val="000000" w:themeColor="text1"/>
          <w:sz w:val="28"/>
          <w:szCs w:val="24"/>
        </w:rPr>
      </w:pPr>
      <w:r>
        <w:rPr>
          <w:rFonts w:ascii="Times New Roman" w:hAnsi="Times New Roman"/>
          <w:b/>
          <w:color w:val="000000" w:themeColor="text1"/>
          <w:sz w:val="28"/>
          <w:szCs w:val="24"/>
        </w:rPr>
      </w:r>
    </w:p>
    <w:p>
      <w:pPr>
        <w:pStyle w:val="Normal"/>
        <w:spacing w:lineRule="auto" w:line="240" w:before="0" w:after="0"/>
        <w:jc w:val="center"/>
        <w:rPr>
          <w:rFonts w:ascii="Times New Roman" w:hAnsi="Times New Roman"/>
          <w:b/>
          <w:color w:val="000000" w:themeColor="text1"/>
          <w:sz w:val="28"/>
          <w:szCs w:val="24"/>
        </w:rPr>
      </w:pPr>
      <w:r>
        <w:rPr>
          <w:rFonts w:ascii="Times New Roman" w:hAnsi="Times New Roman"/>
          <w:b/>
          <w:color w:val="000000" w:themeColor="text1"/>
          <w:sz w:val="28"/>
          <w:szCs w:val="24"/>
        </w:rPr>
        <w:t xml:space="preserve">Aroeiras do Cerrado: aspectos etnobotânicos, fitoquímicos e farmacológicos    </w:t>
      </w:r>
    </w:p>
    <w:p>
      <w:pPr>
        <w:pStyle w:val="Normal"/>
        <w:spacing w:lineRule="auto" w:line="240" w:before="0" w:after="0"/>
        <w:rPr>
          <w:rFonts w:ascii="Times New Roman" w:hAnsi="Times New Roman"/>
          <w:b/>
          <w:sz w:val="24"/>
          <w:szCs w:val="24"/>
        </w:rPr>
      </w:pPr>
      <w:r>
        <w:rPr>
          <w:rFonts w:ascii="Times New Roman" w:hAnsi="Times New Roman"/>
          <w:b/>
          <w:sz w:val="24"/>
          <w:szCs w:val="24"/>
        </w:rPr>
      </w:r>
    </w:p>
    <w:p>
      <w:pPr>
        <w:pStyle w:val="Normal"/>
        <w:tabs>
          <w:tab w:val="clear" w:pos="708"/>
          <w:tab w:val="left" w:pos="6600" w:leader="none"/>
          <w:tab w:val="right" w:pos="9071" w:leader="none"/>
        </w:tabs>
        <w:spacing w:lineRule="auto" w:line="240" w:before="0" w:after="0"/>
        <w:jc w:val="center"/>
        <w:rPr>
          <w:rFonts w:ascii="Times New Roman" w:hAnsi="Times New Roman"/>
          <w:sz w:val="24"/>
          <w:szCs w:val="24"/>
        </w:rPr>
      </w:pPr>
      <w:r>
        <w:rPr>
          <w:rFonts w:ascii="Times New Roman" w:hAnsi="Times New Roman"/>
          <w:b/>
          <w:sz w:val="24"/>
          <w:szCs w:val="24"/>
        </w:rPr>
        <w:t>Vanessa Cristina Rescia</w:t>
      </w:r>
      <w:r>
        <w:rPr>
          <w:rStyle w:val="Ncoradanotaderodap"/>
          <w:rFonts w:ascii="Times New Roman" w:hAnsi="Times New Roman"/>
          <w:sz w:val="24"/>
          <w:szCs w:val="24"/>
        </w:rPr>
        <w:footnoteReference w:id="2"/>
      </w:r>
    </w:p>
    <w:p>
      <w:pPr>
        <w:pStyle w:val="Normal"/>
        <w:spacing w:lineRule="auto" w:line="240" w:before="0" w:after="0"/>
        <w:jc w:val="center"/>
        <w:rPr>
          <w:rFonts w:ascii="Times New Roman" w:hAnsi="Times New Roman"/>
          <w:i/>
          <w:i/>
          <w:iCs/>
          <w:sz w:val="24"/>
          <w:szCs w:val="24"/>
        </w:rPr>
      </w:pPr>
      <w:r>
        <w:rPr>
          <w:rFonts w:ascii="Times New Roman" w:hAnsi="Times New Roman"/>
          <w:i/>
          <w:iCs/>
          <w:sz w:val="24"/>
          <w:szCs w:val="24"/>
        </w:rPr>
        <w:t>Universidade Federal do Oeste da Bahia</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b/>
          <w:sz w:val="24"/>
          <w:szCs w:val="24"/>
        </w:rPr>
        <w:t>Maria Luiza Souza Oliveira</w:t>
      </w:r>
      <w:r>
        <w:rPr>
          <w:rStyle w:val="Ncoradanotaderodap"/>
          <w:rFonts w:ascii="Times New Roman" w:hAnsi="Times New Roman"/>
          <w:sz w:val="24"/>
          <w:szCs w:val="24"/>
        </w:rPr>
        <w:footnoteReference w:id="3"/>
      </w:r>
    </w:p>
    <w:p>
      <w:pPr>
        <w:pStyle w:val="Normal"/>
        <w:spacing w:lineRule="auto" w:line="240" w:before="0" w:after="0"/>
        <w:jc w:val="center"/>
        <w:rPr>
          <w:rFonts w:ascii="Times New Roman" w:hAnsi="Times New Roman"/>
          <w:i/>
          <w:i/>
          <w:iCs/>
          <w:sz w:val="24"/>
          <w:szCs w:val="24"/>
        </w:rPr>
      </w:pPr>
      <w:r>
        <w:rPr>
          <w:rFonts w:ascii="Times New Roman" w:hAnsi="Times New Roman"/>
          <w:i/>
          <w:iCs/>
          <w:sz w:val="24"/>
          <w:szCs w:val="24"/>
        </w:rPr>
        <w:t>Universidade Federal do Oeste da Bahia</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6600" w:leader="none"/>
          <w:tab w:val="right" w:pos="9071" w:leader="none"/>
        </w:tabs>
        <w:spacing w:lineRule="auto" w:line="240" w:before="0" w:after="0"/>
        <w:jc w:val="center"/>
        <w:rPr>
          <w:rFonts w:ascii="Times New Roman" w:hAnsi="Times New Roman"/>
          <w:sz w:val="24"/>
          <w:szCs w:val="24"/>
        </w:rPr>
      </w:pPr>
      <w:r>
        <w:rPr>
          <w:rFonts w:ascii="Times New Roman" w:hAnsi="Times New Roman"/>
          <w:b/>
          <w:sz w:val="24"/>
          <w:szCs w:val="24"/>
        </w:rPr>
        <w:t>Victor Emanuel de Oliveira Araujo</w:t>
      </w:r>
      <w:r>
        <w:rPr>
          <w:rStyle w:val="Ncoradanotaderodap"/>
          <w:rFonts w:ascii="Times New Roman" w:hAnsi="Times New Roman"/>
          <w:sz w:val="24"/>
          <w:szCs w:val="24"/>
        </w:rPr>
        <w:footnoteReference w:id="4"/>
      </w:r>
    </w:p>
    <w:p>
      <w:pPr>
        <w:pStyle w:val="Normal"/>
        <w:spacing w:lineRule="auto" w:line="240" w:before="0" w:after="0"/>
        <w:jc w:val="center"/>
        <w:rPr>
          <w:rFonts w:ascii="Times New Roman" w:hAnsi="Times New Roman"/>
          <w:i/>
          <w:i/>
          <w:iCs/>
          <w:sz w:val="24"/>
          <w:szCs w:val="24"/>
        </w:rPr>
      </w:pPr>
      <w:r>
        <w:rPr>
          <w:rFonts w:ascii="Times New Roman" w:hAnsi="Times New Roman"/>
          <w:i/>
          <w:iCs/>
          <w:sz w:val="24"/>
          <w:szCs w:val="24"/>
        </w:rPr>
        <w:t>Universidade Federal do Oeste da Bahia</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b/>
          <w:sz w:val="24"/>
          <w:szCs w:val="24"/>
        </w:rPr>
        <w:t>Marina Meirelles Paes</w:t>
      </w:r>
      <w:r>
        <w:rPr>
          <w:rStyle w:val="Ncoradanotaderodap"/>
          <w:rFonts w:ascii="Times New Roman" w:hAnsi="Times New Roman"/>
          <w:sz w:val="24"/>
          <w:szCs w:val="24"/>
        </w:rPr>
        <w:footnoteReference w:id="5"/>
      </w:r>
    </w:p>
    <w:p>
      <w:pPr>
        <w:pStyle w:val="Normal"/>
        <w:spacing w:lineRule="auto" w:line="240" w:before="0" w:after="0"/>
        <w:jc w:val="center"/>
        <w:rPr>
          <w:rFonts w:ascii="Times New Roman" w:hAnsi="Times New Roman"/>
          <w:i/>
          <w:i/>
          <w:iCs/>
          <w:sz w:val="24"/>
          <w:szCs w:val="24"/>
        </w:rPr>
      </w:pPr>
      <w:r>
        <w:rPr>
          <w:rFonts w:ascii="Times New Roman" w:hAnsi="Times New Roman"/>
          <w:i/>
          <w:iCs/>
          <w:sz w:val="24"/>
          <w:szCs w:val="24"/>
        </w:rPr>
        <w:t>Universidade Federal do Oeste da Bahia</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Cs/>
        </w:rPr>
      </w:pPr>
      <w:r>
        <w:rPr>
          <w:rFonts w:ascii="Times New Roman" w:hAnsi="Times New Roman"/>
          <w:b/>
          <w:bCs/>
        </w:rPr>
        <w:t>RESUMO</w:t>
      </w:r>
    </w:p>
    <w:p>
      <w:pPr>
        <w:pStyle w:val="Local"/>
        <w:widowControl w:val="false"/>
        <w:spacing w:before="0" w:after="0"/>
        <w:ind w:left="1134" w:right="1134" w:hanging="0"/>
        <w:jc w:val="both"/>
        <w:rPr>
          <w:rFonts w:ascii="Times New Roman" w:hAnsi="Times New Roman"/>
          <w:iCs/>
          <w:sz w:val="20"/>
          <w:szCs w:val="20"/>
        </w:rPr>
      </w:pPr>
      <w:r>
        <w:rPr>
          <w:rFonts w:ascii="Times New Roman" w:hAnsi="Times New Roman"/>
          <w:iCs/>
          <w:sz w:val="20"/>
          <w:szCs w:val="20"/>
        </w:rPr>
        <w:t>O Cerrado é um dos biomas mais biodiversos do mundo e abriga espécies vegetais de grande importância etnofarmacológica. Entre elas destacam-se as aroeiras (</w:t>
      </w:r>
      <w:r>
        <w:rPr>
          <w:rFonts w:ascii="Times New Roman" w:hAnsi="Times New Roman"/>
          <w:i/>
          <w:iCs/>
          <w:sz w:val="20"/>
          <w:szCs w:val="20"/>
        </w:rPr>
        <w:t>Astronium fraxinifolium</w:t>
      </w:r>
      <w:r>
        <w:rPr>
          <w:rFonts w:ascii="Times New Roman" w:hAnsi="Times New Roman"/>
          <w:iCs/>
          <w:sz w:val="20"/>
          <w:szCs w:val="20"/>
        </w:rPr>
        <w:t xml:space="preserve"> Schott, </w:t>
      </w:r>
      <w:r>
        <w:rPr>
          <w:rFonts w:ascii="Times New Roman" w:hAnsi="Times New Roman"/>
          <w:i/>
          <w:iCs/>
          <w:sz w:val="20"/>
          <w:szCs w:val="20"/>
        </w:rPr>
        <w:t>Myracrodruon urundeuva</w:t>
      </w:r>
      <w:r>
        <w:rPr>
          <w:rFonts w:ascii="Times New Roman" w:hAnsi="Times New Roman"/>
          <w:iCs/>
          <w:sz w:val="20"/>
          <w:szCs w:val="20"/>
        </w:rPr>
        <w:t xml:space="preserve"> M. Allemão e </w:t>
      </w:r>
      <w:r>
        <w:rPr>
          <w:rFonts w:ascii="Times New Roman" w:hAnsi="Times New Roman"/>
          <w:i/>
          <w:iCs/>
          <w:sz w:val="20"/>
          <w:szCs w:val="20"/>
        </w:rPr>
        <w:t>Schinus terebinthifolius</w:t>
      </w:r>
      <w:r>
        <w:rPr>
          <w:rFonts w:ascii="Times New Roman" w:hAnsi="Times New Roman"/>
          <w:iCs/>
          <w:sz w:val="20"/>
          <w:szCs w:val="20"/>
        </w:rPr>
        <w:t xml:space="preserve"> Raddi), espécies pertencentes à família Anacardiaceae, amplamente utilizadas na medicina tradicional brasileira. Este estudo teve como objetivo realizar uma revisão bibliográfica sobre os aspectos etnobotânicos, fitoquímicos e farmacológicos dessas espécies ocorrentes no Cerrado. Os dados analisados indicam ampla utilização no tratamento de processos inflamatórios, infecções geniturinárias e afecções respiratórias. Estudos fitoquímicos relatam a presença de flavonoides, taninos, terpenos e compostos fenólicos, associados a atividades antimicrobianas, antioxidantes e anti-inflamatórias. Os resultados evidenciam convergência entre os usos tradicionais e as evidências farmacológicas descritas na literatura, destacando o potencial dessas espécies como fontes promissoras de compostos bioativos para o desenvolvimento de fitoterápicos e para a bioprospecção de novos agentes terapêuticos.</w:t>
      </w:r>
    </w:p>
    <w:p>
      <w:pPr>
        <w:pStyle w:val="Local"/>
        <w:widowControl w:val="false"/>
        <w:spacing w:before="0" w:after="0"/>
        <w:ind w:left="1134" w:right="1134" w:hanging="0"/>
        <w:jc w:val="both"/>
        <w:rPr>
          <w:rFonts w:ascii="Times New Roman" w:hAnsi="Times New Roman"/>
          <w:iCs/>
          <w:sz w:val="20"/>
          <w:szCs w:val="20"/>
        </w:rPr>
      </w:pPr>
      <w:r>
        <w:rPr>
          <w:rFonts w:ascii="Times New Roman" w:hAnsi="Times New Roman"/>
          <w:b/>
          <w:sz w:val="20"/>
          <w:szCs w:val="20"/>
        </w:rPr>
        <w:t xml:space="preserve">Palavras-chave: </w:t>
      </w:r>
      <w:r>
        <w:rPr>
          <w:rFonts w:ascii="Times New Roman" w:hAnsi="Times New Roman"/>
          <w:b w:val="false"/>
          <w:bCs w:val="false"/>
          <w:sz w:val="20"/>
          <w:szCs w:val="20"/>
        </w:rPr>
        <w:t>Etnobotânica; Plantas medicinais; Biodiversidade; Fitoterapia; Bioprospecção.</w:t>
      </w:r>
    </w:p>
    <w:p>
      <w:pPr>
        <w:pStyle w:val="Local"/>
        <w:widowControl w:val="false"/>
        <w:spacing w:before="0" w:after="0"/>
        <w:jc w:val="both"/>
        <w:rPr>
          <w:rFonts w:ascii="Times New Roman" w:hAnsi="Times New Roman"/>
          <w:b w:val="false"/>
          <w:bCs w:val="false"/>
          <w:sz w:val="20"/>
          <w:szCs w:val="20"/>
        </w:rPr>
      </w:pPr>
      <w:r>
        <w:rPr>
          <w:rFonts w:ascii="Times New Roman" w:hAnsi="Times New Roman"/>
          <w:b w:val="false"/>
          <w:bCs w:val="false"/>
          <w:sz w:val="20"/>
          <w:szCs w:val="20"/>
        </w:rPr>
      </w:r>
    </w:p>
    <w:p>
      <w:pPr>
        <w:pStyle w:val="Normal"/>
        <w:spacing w:lineRule="auto" w:line="240" w:before="0" w:after="0"/>
        <w:jc w:val="center"/>
        <w:rPr>
          <w:rFonts w:ascii="Times New Roman" w:hAnsi="Times New Roman"/>
          <w:b/>
          <w:color w:val="085742"/>
          <w:sz w:val="24"/>
          <w:szCs w:val="24"/>
        </w:rPr>
      </w:pPr>
      <w:r>
        <w:rPr>
          <w:rFonts w:ascii="Times New Roman" w:hAnsi="Times New Roman"/>
          <w:b/>
          <w:color w:val="000000" w:themeColor="text1"/>
          <w:sz w:val="24"/>
          <w:szCs w:val="24"/>
        </w:rPr>
        <w:t>Aroeiras from the Brazilian Cerrado: Ethnobotanical, Phytochemical and Pharmacological Aspects</w:t>
      </w:r>
    </w:p>
    <w:p>
      <w:pPr>
        <w:pStyle w:val="Normal"/>
        <w:spacing w:lineRule="auto" w:line="240" w:before="0" w:after="0"/>
        <w:jc w:val="center"/>
        <w:rPr>
          <w:rFonts w:ascii="Times New Roman" w:hAnsi="Times New Roman"/>
          <w:b/>
          <w:color w:val="085742"/>
          <w:sz w:val="24"/>
          <w:szCs w:val="24"/>
        </w:rPr>
      </w:pPr>
      <w:r>
        <w:rPr>
          <w:rFonts w:ascii="Times New Roman" w:hAnsi="Times New Roman"/>
          <w:b/>
          <w:color w:val="085742"/>
          <w:sz w:val="24"/>
          <w:szCs w:val="24"/>
        </w:rPr>
      </w:r>
    </w:p>
    <w:p>
      <w:pPr>
        <w:pStyle w:val="Normal"/>
        <w:spacing w:lineRule="auto" w:line="240" w:before="0" w:after="0"/>
        <w:jc w:val="center"/>
        <w:rPr>
          <w:rFonts w:ascii="Times New Roman" w:hAnsi="Times New Roman"/>
          <w:b/>
        </w:rPr>
      </w:pPr>
      <w:r>
        <w:rPr>
          <w:rFonts w:ascii="Times New Roman" w:hAnsi="Times New Roman"/>
          <w:b/>
        </w:rPr>
        <w:t>ABSTRACT</w:t>
      </w:r>
    </w:p>
    <w:p>
      <w:pPr>
        <w:pStyle w:val="Local"/>
        <w:widowControl w:val="false"/>
        <w:spacing w:before="0" w:after="0"/>
        <w:ind w:left="1134" w:right="1134" w:hanging="0"/>
        <w:jc w:val="both"/>
        <w:rPr>
          <w:rFonts w:ascii="Times New Roman" w:hAnsi="Times New Roman"/>
          <w:iCs/>
          <w:sz w:val="20"/>
          <w:szCs w:val="20"/>
        </w:rPr>
      </w:pPr>
      <w:r>
        <w:rPr>
          <w:rFonts w:ascii="Times New Roman" w:hAnsi="Times New Roman"/>
          <w:bCs/>
          <w:iCs/>
          <w:sz w:val="20"/>
          <w:szCs w:val="20"/>
          <w:lang w:val="en-US"/>
        </w:rPr>
        <w:t>The Cerrado is one of the most biodiverse biomes in the world and harbors plant species of great ethnopharmacological importance. Among them, the species commonly known as aroeiras (</w:t>
      </w:r>
      <w:r>
        <w:rPr>
          <w:rFonts w:ascii="Times New Roman" w:hAnsi="Times New Roman"/>
          <w:bCs/>
          <w:i/>
          <w:iCs/>
          <w:sz w:val="20"/>
          <w:szCs w:val="20"/>
          <w:lang w:val="en-US"/>
        </w:rPr>
        <w:t>Astronium fraxinifolium</w:t>
      </w:r>
      <w:r>
        <w:rPr>
          <w:rFonts w:ascii="Times New Roman" w:hAnsi="Times New Roman"/>
          <w:bCs/>
          <w:iCs/>
          <w:sz w:val="20"/>
          <w:szCs w:val="20"/>
          <w:lang w:val="en-US"/>
        </w:rPr>
        <w:t xml:space="preserve"> Schott, </w:t>
      </w:r>
      <w:r>
        <w:rPr>
          <w:rFonts w:ascii="Times New Roman" w:hAnsi="Times New Roman"/>
          <w:bCs/>
          <w:i/>
          <w:iCs/>
          <w:sz w:val="20"/>
          <w:szCs w:val="20"/>
          <w:lang w:val="en-US"/>
        </w:rPr>
        <w:t>Myracrodruon urundeuva</w:t>
      </w:r>
      <w:r>
        <w:rPr>
          <w:rFonts w:ascii="Times New Roman" w:hAnsi="Times New Roman"/>
          <w:bCs/>
          <w:iCs/>
          <w:sz w:val="20"/>
          <w:szCs w:val="20"/>
          <w:lang w:val="en-US"/>
        </w:rPr>
        <w:t xml:space="preserve"> M. Allemão and </w:t>
      </w:r>
      <w:r>
        <w:rPr>
          <w:rFonts w:ascii="Times New Roman" w:hAnsi="Times New Roman"/>
          <w:bCs/>
          <w:i/>
          <w:iCs/>
          <w:sz w:val="20"/>
          <w:szCs w:val="20"/>
          <w:lang w:val="en-US"/>
        </w:rPr>
        <w:t>Schinus terebinthifolius</w:t>
      </w:r>
      <w:r>
        <w:rPr>
          <w:rFonts w:ascii="Times New Roman" w:hAnsi="Times New Roman"/>
          <w:bCs/>
          <w:iCs/>
          <w:sz w:val="20"/>
          <w:szCs w:val="20"/>
          <w:lang w:val="en-US"/>
        </w:rPr>
        <w:t xml:space="preserve"> Raddi), belonging to the Anacardiaceae family, stand out due to their widespread use in Brazilian traditional medicine. This study aimed to conduct a bibliographic review on the ethnobotanical, phytochemical and pharmacological aspects of these species occurring in the Cerrado. The analyzed data indicate extensive traditional use in the treatment of inflammatory processes, genitourinary infections and respiratory disorders. Phytochemical studies report the presence of flavonoids, tannins, terpenes and phenolic compounds associated with antimicrobial, antioxidant and anti-inflammatory activities. The results reveal a strong convergence between traditional uses and pharmacological evidence described in the scientific literature, highlighting the potential of these species as promising sources of bioactive compounds for the development of phytotherapeutic products and for the bioprospecting of new therapeutic agents.</w:t>
        <w:br/>
      </w:r>
      <w:r>
        <w:rPr>
          <w:rFonts w:ascii="Times New Roman" w:hAnsi="Times New Roman"/>
          <w:b/>
          <w:bCs/>
          <w:iCs/>
          <w:sz w:val="20"/>
          <w:szCs w:val="20"/>
          <w:lang w:val="en-US"/>
        </w:rPr>
        <w:t>Keywords:</w:t>
      </w:r>
      <w:r>
        <w:rPr>
          <w:rFonts w:ascii="Times New Roman" w:hAnsi="Times New Roman"/>
          <w:bCs/>
          <w:iCs/>
          <w:sz w:val="20"/>
          <w:szCs w:val="20"/>
          <w:lang w:val="en-US"/>
        </w:rPr>
        <w:t xml:space="preserve"> Ethnobotany; Medicinal plants; Biodiversity; Phytotherapy; Bioprospecting.</w:t>
      </w:r>
    </w:p>
    <w:p>
      <w:pPr>
        <w:pStyle w:val="Normal"/>
        <w:shd w:val="clear" w:color="auto" w:fill="FFFFFF"/>
        <w:spacing w:lineRule="auto" w:line="240" w:before="0" w:after="0"/>
        <w:rPr>
          <w:rFonts w:ascii="Times New Roman" w:hAnsi="Times New Roman" w:eastAsia="Times New Roman"/>
          <w:bCs/>
          <w:lang w:val="en-US" w:eastAsia="pt-BR"/>
        </w:rPr>
      </w:pPr>
      <w:r>
        <w:rPr>
          <w:rFonts w:eastAsia="Times New Roman" w:ascii="Times New Roman" w:hAnsi="Times New Roman"/>
          <w:bCs/>
          <w:lang w:val="en-US" w:eastAsia="pt-BR"/>
        </w:rPr>
      </w:r>
    </w:p>
    <w:p>
      <w:pPr>
        <w:pStyle w:val="Normal"/>
        <w:spacing w:lineRule="auto" w:line="240" w:before="0" w:after="0"/>
        <w:jc w:val="center"/>
        <w:rPr>
          <w:rFonts w:ascii="Times New Roman" w:hAnsi="Times New Roman"/>
          <w:b/>
          <w:color w:val="000000" w:themeColor="text1"/>
          <w:sz w:val="24"/>
          <w:szCs w:val="24"/>
        </w:rPr>
      </w:pPr>
      <w:r>
        <w:rPr>
          <w:rFonts w:ascii="Times New Roman" w:hAnsi="Times New Roman"/>
          <w:b/>
          <w:color w:val="000000" w:themeColor="text1"/>
          <w:sz w:val="24"/>
          <w:szCs w:val="24"/>
        </w:rPr>
        <w:t>Aroeiras del Cerrado Brasileño: aspectos etnobotánicos, fitoquímicos y farmacológicos</w:t>
      </w:r>
    </w:p>
    <w:p>
      <w:pPr>
        <w:pStyle w:val="Normal"/>
        <w:spacing w:lineRule="auto" w:line="240" w:before="0" w:after="0"/>
        <w:jc w:val="center"/>
        <w:rPr>
          <w:rFonts w:ascii="Times New Roman" w:hAnsi="Times New Roman"/>
          <w:b/>
          <w:color w:val="000000" w:themeColor="text1"/>
          <w:sz w:val="24"/>
          <w:szCs w:val="24"/>
        </w:rPr>
      </w:pPr>
      <w:r>
        <w:rPr>
          <w:rFonts w:ascii="Times New Roman" w:hAnsi="Times New Roman"/>
          <w:b/>
          <w:color w:val="000000" w:themeColor="text1"/>
          <w:sz w:val="24"/>
          <w:szCs w:val="24"/>
        </w:rPr>
      </w:r>
    </w:p>
    <w:p>
      <w:pPr>
        <w:pStyle w:val="Normal"/>
        <w:spacing w:lineRule="auto" w:line="240" w:before="0" w:after="0"/>
        <w:jc w:val="center"/>
        <w:rPr>
          <w:rFonts w:ascii="Times New Roman" w:hAnsi="Times New Roman"/>
          <w:b/>
        </w:rPr>
      </w:pPr>
      <w:r>
        <w:rPr>
          <w:rFonts w:ascii="Times New Roman" w:hAnsi="Times New Roman"/>
          <w:b/>
        </w:rPr>
        <w:t>RESUMEN</w:t>
      </w:r>
    </w:p>
    <w:p>
      <w:pPr>
        <w:pStyle w:val="Local"/>
        <w:widowControl w:val="false"/>
        <w:spacing w:before="0" w:after="0"/>
        <w:ind w:left="1134" w:right="1134" w:hanging="0"/>
        <w:jc w:val="both"/>
        <w:rPr>
          <w:rFonts w:ascii="Times New Roman" w:hAnsi="Times New Roman"/>
          <w:iCs/>
          <w:sz w:val="20"/>
          <w:lang w:val="en-US"/>
        </w:rPr>
      </w:pPr>
      <w:r>
        <w:rPr>
          <w:rFonts w:ascii="Times New Roman" w:hAnsi="Times New Roman"/>
          <w:bCs/>
          <w:iCs/>
          <w:sz w:val="20"/>
          <w:lang w:val="en-US"/>
        </w:rPr>
        <w:t>El Cerrado es uno de los biomas más biodiversos del mundo y alberga especies vegetales de gran importancia etnofarmacológica. Entre ellas destacan las especies conocidas como aroeiras (</w:t>
      </w:r>
      <w:r>
        <w:rPr>
          <w:rFonts w:ascii="Times New Roman" w:hAnsi="Times New Roman"/>
          <w:bCs/>
          <w:i/>
          <w:iCs/>
          <w:sz w:val="20"/>
          <w:u w:val="single"/>
          <w:lang w:val="en-US"/>
        </w:rPr>
        <w:t>Astronium fraxinifolium</w:t>
      </w:r>
      <w:r>
        <w:rPr>
          <w:rFonts w:ascii="Times New Roman" w:hAnsi="Times New Roman"/>
          <w:bCs/>
          <w:iCs/>
          <w:sz w:val="20"/>
          <w:lang w:val="en-US"/>
        </w:rPr>
        <w:t xml:space="preserve"> Schott, </w:t>
      </w:r>
      <w:r>
        <w:rPr>
          <w:rFonts w:ascii="Times New Roman" w:hAnsi="Times New Roman"/>
          <w:bCs/>
          <w:i/>
          <w:iCs/>
          <w:sz w:val="20"/>
          <w:lang w:val="en-US"/>
        </w:rPr>
        <w:t>Myracrodruon urundeuv</w:t>
      </w:r>
      <w:r>
        <w:rPr>
          <w:rFonts w:ascii="Times New Roman" w:hAnsi="Times New Roman"/>
          <w:bCs/>
          <w:iCs/>
          <w:sz w:val="20"/>
          <w:lang w:val="en-US"/>
        </w:rPr>
        <w:t xml:space="preserve">a M. Allemão y </w:t>
      </w:r>
      <w:r>
        <w:rPr>
          <w:rFonts w:ascii="Times New Roman" w:hAnsi="Times New Roman"/>
          <w:bCs/>
          <w:i/>
          <w:iCs/>
          <w:sz w:val="20"/>
          <w:lang w:val="en-US"/>
        </w:rPr>
        <w:t>Schinus terebinthifolius</w:t>
      </w:r>
      <w:r>
        <w:rPr>
          <w:rFonts w:ascii="Times New Roman" w:hAnsi="Times New Roman"/>
          <w:bCs/>
          <w:iCs/>
          <w:sz w:val="20"/>
          <w:lang w:val="en-US"/>
        </w:rPr>
        <w:t xml:space="preserve"> Raddi), pertenecientes a la familia Anacardiaceae, ampliamente utilizadas en la medicina tradicional brasileña. Este estudio tuvo como objetivo realizar una revisión bibliográfica sobre los aspectos etnobotánicos, fitoquímicos y farmacológicos de estas especies presentes en el Cerrado. Los datos analizados indican un amplio uso tradicional en el tratamiento de procesos inflamatorios, infecciones genitourinarias y afecciones respiratorias. Los estudios fitoquímicos reportan la presencia de flavonoides, taninos, terpenos y compuestos fenólicos asociados a actividades antimicrobianas, antioxidantes y antiinflamatorias. Los resultados evidencian una convergencia entre los usos tradicionales y las evidencias farmacológicas descritas en la literatura científica, destacando el potencial de estas especies como fuentes prometedoras de compuestos bioactivos para el desarrollo de fitoterápicos y para la bioprospección de nuevos agentes terapéuticos.</w:t>
      </w:r>
    </w:p>
    <w:p>
      <w:pPr>
        <w:pStyle w:val="Local"/>
        <w:widowControl w:val="false"/>
        <w:spacing w:before="0" w:after="0"/>
        <w:ind w:left="1134" w:right="1134" w:hanging="0"/>
        <w:jc w:val="both"/>
        <w:rPr>
          <w:rFonts w:ascii="Times New Roman" w:hAnsi="Times New Roman"/>
          <w:iCs/>
          <w:sz w:val="20"/>
          <w:lang w:val="en-US"/>
        </w:rPr>
      </w:pPr>
      <w:r>
        <w:rPr>
          <w:rFonts w:ascii="Times New Roman" w:hAnsi="Times New Roman"/>
          <w:b/>
          <w:bCs/>
          <w:iCs/>
          <w:sz w:val="20"/>
          <w:lang w:val="en-US"/>
        </w:rPr>
        <w:t>Palabras clave:</w:t>
      </w:r>
      <w:r>
        <w:rPr>
          <w:rFonts w:ascii="Times New Roman" w:hAnsi="Times New Roman"/>
          <w:bCs/>
          <w:iCs/>
          <w:sz w:val="20"/>
          <w:lang w:val="en-US"/>
        </w:rPr>
        <w:t xml:space="preserve"> Etnobotánica; Plantas medicinales; Biodiversidad; Fitoterapia; Bioprospección.</w:t>
      </w:r>
    </w:p>
    <w:p>
      <w:pPr>
        <w:pStyle w:val="Local"/>
        <w:widowControl w:val="false"/>
        <w:spacing w:before="0" w:after="0"/>
        <w:ind w:left="1134" w:right="1134" w:hanging="0"/>
        <w:jc w:val="both"/>
        <w:rPr>
          <w:rFonts w:ascii="Times New Roman" w:hAnsi="Times New Roman"/>
          <w:sz w:val="20"/>
          <w:lang w:val="en-US"/>
        </w:rPr>
      </w:pPr>
      <w:r>
        <w:rPr>
          <w:rFonts w:ascii="Times New Roman" w:hAnsi="Times New Roman"/>
          <w:sz w:val="20"/>
          <w:lang w:val="en-US"/>
        </w:rPr>
      </w:r>
    </w:p>
    <w:p>
      <w:pPr>
        <w:pStyle w:val="Local"/>
        <w:widowControl w:val="false"/>
        <w:spacing w:before="0" w:after="0"/>
        <w:ind w:left="1134" w:right="1134" w:hanging="0"/>
        <w:jc w:val="both"/>
        <w:rPr>
          <w:rFonts w:ascii="Times New Roman" w:hAnsi="Times New Roman"/>
          <w:sz w:val="20"/>
          <w:lang w:val="en-US"/>
        </w:rPr>
      </w:pPr>
      <w:r>
        <w:rPr>
          <w:rFonts w:ascii="Times New Roman" w:hAnsi="Times New Roman"/>
          <w:sz w:val="20"/>
          <w:lang w:val="en-US"/>
        </w:rPr>
      </w:r>
    </w:p>
    <w:p>
      <w:pPr>
        <w:pStyle w:val="Normal"/>
        <w:spacing w:lineRule="auto" w:line="276" w:before="0" w:after="0"/>
        <w:jc w:val="both"/>
        <w:rPr/>
      </w:pPr>
      <w:r>
        <w:rPr>
          <w:rFonts w:ascii="Times New Roman" w:hAnsi="Times New Roman"/>
          <w:b/>
          <w:color w:val="000000" w:themeColor="text1"/>
          <w:sz w:val="24"/>
          <w:szCs w:val="24"/>
        </w:rPr>
        <w:t xml:space="preserve">INTRODUÇÃO </w:t>
      </w:r>
    </w:p>
    <w:p>
      <w:pPr>
        <w:pStyle w:val="Normal"/>
        <w:spacing w:lineRule="auto" w:line="276" w:before="0" w:after="0"/>
        <w:ind w:firstLine="708"/>
        <w:jc w:val="both"/>
        <w:rPr/>
      </w:pPr>
      <w:r>
        <w:rPr>
          <w:rFonts w:ascii="Times New Roman" w:hAnsi="Times New Roman"/>
          <w:color w:val="000000" w:themeColor="text1"/>
          <w:sz w:val="24"/>
          <w:szCs w:val="24"/>
        </w:rPr>
        <w:t>O Cerrado brasileiro é reconhecido como um dos principais hotspots mundiais de biodiversidade, abrigando elevada riqueza de espécies vegetais com potencial alimentício, madeireiro e medicinal. Esse bioma ocupa aproximadamente 22% do território nacional e apresenta alto grau de endemismo florístico, desempenhando papel fundamental na conservação da biodiversidade e na manutenção de importantes serviços ecossistêmicos (MYERS et al., 2000; KLINK; MACHADO, 2005; RIBEIRO; WALTER, 2008). Entretanto, a expansão agropecuária, as queimadas e a exploração intensiva de recursos naturais têm provocado acelerada degradação ambiental, ameaçando a conservação de espécies nativas e os conhecimentos tradicionais associados ao seu uso. Nesse contexto, a valorização científica das plantas medicinais do Cerrado constitui estratégia relevante para a conservação da biodiversidade, o fortalecimento da etnociência e o incentivo ao uso sustentável dos recursos naturais.</w:t>
        <w:br/>
        <w:tab/>
        <w:t>Entre os grupos botânicos de destaque nesse bioma encontra-se a família Anacardiaceae, amplamente distribuída em regiões tropicais e subtropicais e composta por espécies de elevada importância ecológica, econômica e farmacológica. Diversos representantes dessa família apresentam metabólitos secundários bioativos, como taninos, flavonoides, terpenos e compostos fenólicos, frequentemente associados a propriedades antimicrobianas, anti-inflamatórias, antioxidantes e cicatrizantes (LORENZI; MATOS, 2008; MACIEL et al., 2002; SIMÕES et al., 2017). Essas características tornam diversas espécies da família fontes promissoras de compostos bioativos de interesse farmacológico e biotecnológico.</w:t>
        <w:br/>
        <w:tab/>
        <w:t>Entre as espécies de destaque no Cerrado brasileiro encontram-se plantas popularmente conhecidas como aroeiras, amplamente utilizadas na medicina tradicional no tratamento de diferentes enfermidades. Destacam-se Astronium fraxinifolium Schott, Myracrodruon urundeuva M. Allemão e Schinus terebinthifolius Raddi, empregadas principalmente no tratamento de processos inflamatórios, infecções geniturinárias, doenças respiratórias, distúrbios gastrointestinais e processos cicatriciais (ALMEIDA et al., 1998; LORENZI; MATOS, 2008). Estudos etnofarmacológicos indicam que o uso tradicional dessas espécies está frequentemente associado à presença de compostos fitoquímicos com atividade terapêutica comprovada experimentalmente, evidenciando a importância da integração entre conhecimento tradicional e validação científica (RATES, 2001; MACIEL et al., 2002; SIMÕES et al., 2017).</w:t>
      </w:r>
    </w:p>
    <w:p>
      <w:pPr>
        <w:pStyle w:val="Normal"/>
        <w:spacing w:lineRule="auto" w:line="276" w:before="0" w:after="0"/>
        <w:ind w:firstLine="708"/>
        <w:jc w:val="both"/>
        <w:rPr/>
      </w:pPr>
      <w:r>
        <w:rPr>
          <w:rFonts w:ascii="Times New Roman" w:hAnsi="Times New Roman"/>
          <w:color w:val="000000" w:themeColor="text1"/>
          <w:sz w:val="24"/>
          <w:szCs w:val="24"/>
        </w:rPr>
        <w:t>Investigações fitoquímicas relatam predominância de taninos condensados, flavonoides, triterpenos e outros compostos fenólicos nessas espécies, substâncias frequentemente associadas à proteção tecidual, modulação de processos inflamatórios e atividade antimicrobiana (SIMÕES et al., 2017; SILVA-JÚNIOR et al., 2015). Além disso, algumas dessas espécies apresentam reconhecimento institucional na fitoterapia brasileira, sendo empregadas como recursos terapêuticos complementares no sistema de saúde.</w:t>
        <w:br/>
        <w:tab/>
        <w:t>Apesar da ampla utilização popular e do potencial farmacológico dessas espécies, as informações etnobotânicas, fitoquímicas e farmacológicas encontram-se frequentemente dispersas na literatura científica. Essa fragmentação evidencia a necessidade de revisões integrativas que sistematizem o conhecimento disponível e permitam uma compreensão mais abrangente do potencial terapêutico dessas plantas. Ademais, ainda existem lacunas relacionadas à padronização de extratos vegetais, à realização de estudos toxicológicos aprofundados e à consolidação de evidências clínicas, fatores que limitam a ampliação de seu uso seguro e regulamentado (RATES, 2001; MACIEL et al., 2002).</w:t>
      </w:r>
    </w:p>
    <w:p>
      <w:pPr>
        <w:pStyle w:val="Normal"/>
        <w:spacing w:lineRule="auto" w:line="276" w:before="0" w:after="0"/>
        <w:ind w:firstLine="708"/>
        <w:jc w:val="both"/>
        <w:rPr/>
      </w:pPr>
      <w:r>
        <w:rPr>
          <w:rFonts w:ascii="Times New Roman" w:hAnsi="Times New Roman"/>
          <w:color w:val="000000" w:themeColor="text1"/>
          <w:sz w:val="24"/>
          <w:szCs w:val="24"/>
        </w:rPr>
        <w:t>Nesse contexto, estudos de revisão tornam-se ferramentas fundamentais para integrar informações etnofarmacológicas, fitoquímicas e biológicas disponíveis na literatura científica, contribuindo para a bioprospecção de compostos bioativos, o desenvolvimento de fitoterápicos e a valorização do conhecimento tradicional associado à biodiversidade do Cerrado. A análise integrada dessas informações evidencia forte convergência entre o conhecimento tradicional e as evidências farmacológicas disponíveis, reforçando o potencial terapêutico das espécies de aroeira e destacando seu elevado interesse para a descoberta de novos compostos bioativos.</w:t>
      </w:r>
    </w:p>
    <w:p>
      <w:pPr>
        <w:pStyle w:val="Normal"/>
        <w:spacing w:lineRule="auto" w:line="276" w:before="0" w:after="0"/>
        <w:ind w:firstLine="708"/>
        <w:jc w:val="both"/>
        <w:rPr/>
      </w:pPr>
      <w:r>
        <w:rPr>
          <w:rFonts w:ascii="Times New Roman" w:hAnsi="Times New Roman"/>
          <w:color w:val="000000" w:themeColor="text1"/>
          <w:sz w:val="24"/>
          <w:szCs w:val="24"/>
        </w:rPr>
        <w:t>Assim, o presente estudo tem como objetivo geral realizar uma revisão bibliográfica sobre os aspectos etnofarmacológicos, fitoquímicos e biológicos de espécies de aroeira ocorrentes no Cerrado brasileiro. Especificamente, busca-se descrever os principais usos tradicionais dessas espécies, identificar seus metabólitos secundários, analisar evidências experimentais de suas atividades biológicas, correlacionar o uso popular com validações científicas e evidenciar seu potencial biotecnológico para o desenvolvimento de fitoterápicos e para a bioprospecção de novos agentes terapêuticos.</w:t>
      </w:r>
    </w:p>
    <w:p>
      <w:pPr>
        <w:pStyle w:val="Normal"/>
        <w:spacing w:lineRule="auto" w:line="276" w:before="0" w:after="0"/>
        <w:jc w:val="both"/>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76" w:before="0" w:after="0"/>
        <w:jc w:val="both"/>
        <w:rPr/>
      </w:pPr>
      <w:r>
        <w:rPr>
          <w:rFonts w:ascii="Times New Roman" w:hAnsi="Times New Roman"/>
          <w:b/>
          <w:color w:val="000000" w:themeColor="text1"/>
          <w:sz w:val="24"/>
          <w:szCs w:val="24"/>
        </w:rPr>
        <w:t>METODOLOGIA</w:t>
      </w:r>
    </w:p>
    <w:p>
      <w:pPr>
        <w:pStyle w:val="Normal"/>
        <w:spacing w:lineRule="auto" w:line="276" w:before="0" w:after="0"/>
        <w:ind w:firstLine="708"/>
        <w:jc w:val="both"/>
        <w:rPr/>
      </w:pPr>
      <w:r>
        <w:rPr>
          <w:rFonts w:ascii="Times New Roman" w:hAnsi="Times New Roman"/>
          <w:sz w:val="24"/>
          <w:szCs w:val="24"/>
        </w:rPr>
        <w:t xml:space="preserve">Este estudo consistiu de uma revisão bibliográfica de caráter qualitativo, descritivo e exploratório, com enfoque nos aspectos etnofarmacológicos, fitoquímicos e biológicos de espécies de aroeira ocorrentes no bioma Cerrado. A pesquisa foi conduzida por meio de levantamento bibliográfico em bases de dados científicas eletrônicas, incluindo Google Scholar, SciELO e PubMed, com o objetivo de identificar estudos relacionados às espécies </w:t>
      </w:r>
      <w:r>
        <w:rPr>
          <w:rFonts w:ascii="Times New Roman" w:hAnsi="Times New Roman"/>
          <w:i/>
          <w:iCs/>
          <w:sz w:val="24"/>
          <w:szCs w:val="24"/>
        </w:rPr>
        <w:t>Astronium fraxinifolium</w:t>
      </w:r>
      <w:r>
        <w:rPr>
          <w:rFonts w:ascii="Times New Roman" w:hAnsi="Times New Roman"/>
          <w:sz w:val="24"/>
          <w:szCs w:val="24"/>
        </w:rPr>
        <w:t xml:space="preserve"> Schott, </w:t>
      </w:r>
      <w:r>
        <w:rPr>
          <w:rFonts w:ascii="Times New Roman" w:hAnsi="Times New Roman"/>
          <w:i/>
          <w:iCs/>
          <w:sz w:val="24"/>
          <w:szCs w:val="24"/>
        </w:rPr>
        <w:t>Myracrodruon urundeuva</w:t>
      </w:r>
      <w:r>
        <w:rPr>
          <w:rFonts w:ascii="Times New Roman" w:hAnsi="Times New Roman"/>
          <w:sz w:val="24"/>
          <w:szCs w:val="24"/>
        </w:rPr>
        <w:t xml:space="preserve"> M. Allemão e </w:t>
      </w:r>
      <w:r>
        <w:rPr>
          <w:rFonts w:ascii="Times New Roman" w:hAnsi="Times New Roman"/>
          <w:i/>
          <w:iCs/>
          <w:sz w:val="24"/>
          <w:szCs w:val="24"/>
        </w:rPr>
        <w:t>Schinus terebinthifolius</w:t>
      </w:r>
      <w:r>
        <w:rPr>
          <w:rFonts w:ascii="Times New Roman" w:hAnsi="Times New Roman"/>
          <w:sz w:val="24"/>
          <w:szCs w:val="24"/>
        </w:rPr>
        <w:t xml:space="preserve"> Raddi.</w:t>
      </w:r>
    </w:p>
    <w:p>
      <w:pPr>
        <w:pStyle w:val="Normal"/>
        <w:spacing w:lineRule="auto" w:line="276" w:before="0" w:after="0"/>
        <w:ind w:firstLine="708"/>
        <w:jc w:val="both"/>
        <w:rPr/>
      </w:pPr>
      <w:r>
        <w:rPr>
          <w:rFonts w:ascii="Times New Roman" w:hAnsi="Times New Roman"/>
          <w:sz w:val="24"/>
          <w:szCs w:val="24"/>
        </w:rPr>
        <w:t>Foram considerados artigos científicos, monografias, dissertações e teses que abordassem informações sobre usos etnofarmacológicos, constituintes fitoquímicos e atividades biológicas dessas espécies. O período de publicação considerado compreendeu os anos de 2000 a 2023, sendo incluídos trabalhos publicados nos idiomas português e inglês. Estudos duplicados ou sem relação direta com os objetivos da pesquisa foram excluídos da análise.</w:t>
        <w:br/>
        <w:tab/>
        <w:t>Para a elaboração dos quadros 2 a 5, foi realizada busca sistemática principalmente na base Google Scholar, utilizando combinações de palavras-chave relacionadas às espécies estudadas e aos temas de etnobotânica e fitoquímica. Os descritores utilizados incluíram os nomes científicos das espécies associados a termos como ethnopharmacology, ethnobotany, phytochemistry, phenolic compounds, flavonoids e tannins, conforme apresentado no Quadro 1.</w:t>
      </w:r>
    </w:p>
    <w:p>
      <w:pPr>
        <w:pStyle w:val="Normal"/>
        <w:spacing w:lineRule="auto" w:line="276" w:before="0" w:after="0"/>
        <w:ind w:firstLine="708"/>
        <w:jc w:val="both"/>
        <w:rPr/>
      </w:pPr>
      <w:r>
        <w:rPr>
          <w:rFonts w:ascii="Times New Roman" w:hAnsi="Times New Roman"/>
          <w:b/>
          <w:bCs/>
          <w:sz w:val="24"/>
          <w:szCs w:val="24"/>
        </w:rPr>
        <w:t>Quadro 1 –</w:t>
      </w:r>
      <w:r>
        <w:rPr>
          <w:rFonts w:ascii="Times New Roman" w:hAnsi="Times New Roman"/>
          <w:sz w:val="24"/>
          <w:szCs w:val="24"/>
        </w:rPr>
        <w:t xml:space="preserve"> Palavras-chave utilizadas na busca bibliográfica.</w:t>
      </w:r>
    </w:p>
    <w:tbl>
      <w:tblPr>
        <w:tblW w:w="9071" w:type="dxa"/>
        <w:jc w:val="left"/>
        <w:tblInd w:w="0" w:type="dxa"/>
        <w:tblLayout w:type="fixed"/>
        <w:tblCellMar>
          <w:top w:w="28" w:type="dxa"/>
          <w:left w:w="28" w:type="dxa"/>
          <w:bottom w:w="28" w:type="dxa"/>
          <w:right w:w="28" w:type="dxa"/>
        </w:tblCellMar>
      </w:tblPr>
      <w:tblGrid>
        <w:gridCol w:w="2350"/>
        <w:gridCol w:w="6720"/>
      </w:tblGrid>
      <w:tr>
        <w:trPr>
          <w:tblHeader w:val="true"/>
        </w:trPr>
        <w:tc>
          <w:tcPr>
            <w:tcW w:w="2350" w:type="dxa"/>
            <w:tcBorders>
              <w:top w:val="single" w:sz="2" w:space="0" w:color="000000"/>
              <w:left w:val="single" w:sz="2" w:space="0" w:color="000000"/>
              <w:bottom w:val="single" w:sz="2" w:space="0" w:color="000000"/>
            </w:tcBorders>
            <w:vAlign w:val="center"/>
          </w:tcPr>
          <w:p>
            <w:pPr>
              <w:pStyle w:val="Ttulodetabela"/>
              <w:widowControl w:val="false"/>
              <w:spacing w:lineRule="auto" w:line="276" w:before="0" w:after="0"/>
              <w:jc w:val="center"/>
              <w:rPr/>
            </w:pPr>
            <w:r>
              <w:rPr>
                <w:rFonts w:ascii="Times New Roman" w:hAnsi="Times New Roman"/>
                <w:sz w:val="20"/>
                <w:szCs w:val="20"/>
              </w:rPr>
              <w:t>Quadros</w:t>
            </w:r>
          </w:p>
        </w:tc>
        <w:tc>
          <w:tcPr>
            <w:tcW w:w="6720" w:type="dxa"/>
            <w:tcBorders>
              <w:top w:val="single" w:sz="2" w:space="0" w:color="000000"/>
              <w:left w:val="single" w:sz="2" w:space="0" w:color="000000"/>
              <w:bottom w:val="single" w:sz="2" w:space="0" w:color="000000"/>
              <w:right w:val="single" w:sz="2" w:space="0" w:color="000000"/>
            </w:tcBorders>
            <w:vAlign w:val="center"/>
          </w:tcPr>
          <w:p>
            <w:pPr>
              <w:pStyle w:val="Ttulodetabela"/>
              <w:widowControl w:val="false"/>
              <w:spacing w:lineRule="auto" w:line="276" w:before="0" w:after="0"/>
              <w:jc w:val="center"/>
              <w:rPr/>
            </w:pPr>
            <w:r>
              <w:rPr>
                <w:rFonts w:ascii="Times New Roman" w:hAnsi="Times New Roman"/>
                <w:sz w:val="20"/>
                <w:szCs w:val="20"/>
              </w:rPr>
              <w:t>Palavras-chave</w:t>
            </w:r>
          </w:p>
        </w:tc>
      </w:tr>
      <w:tr>
        <w:trPr/>
        <w:tc>
          <w:tcPr>
            <w:tcW w:w="2350" w:type="dxa"/>
            <w:vMerge w:val="restart"/>
            <w:tcBorders>
              <w:left w:val="single" w:sz="2" w:space="0" w:color="000000"/>
              <w:bottom w:val="single" w:sz="2" w:space="0" w:color="000000"/>
            </w:tcBorders>
            <w:vAlign w:val="center"/>
          </w:tcPr>
          <w:p>
            <w:pPr>
              <w:pStyle w:val="Contedodatabela"/>
              <w:widowControl w:val="false"/>
              <w:spacing w:lineRule="auto" w:line="276" w:before="0" w:after="0"/>
              <w:jc w:val="center"/>
              <w:rPr/>
            </w:pPr>
            <w:r>
              <w:rPr>
                <w:rStyle w:val="Strong"/>
                <w:rFonts w:ascii="Times New Roman" w:hAnsi="Times New Roman"/>
                <w:sz w:val="20"/>
                <w:szCs w:val="20"/>
              </w:rPr>
              <w:t>2 e 3</w:t>
            </w:r>
          </w:p>
        </w:tc>
        <w:tc>
          <w:tcPr>
            <w:tcW w:w="6720"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0"/>
              <w:jc w:val="left"/>
              <w:rPr/>
            </w:pPr>
            <w:r>
              <w:rPr>
                <w:rStyle w:val="Nfase"/>
                <w:rFonts w:ascii="Times New Roman" w:hAnsi="Times New Roman"/>
                <w:sz w:val="20"/>
                <w:szCs w:val="20"/>
              </w:rPr>
              <w:t>Astronium fraxinifolium</w:t>
            </w:r>
            <w:r>
              <w:rPr>
                <w:rFonts w:ascii="Times New Roman" w:hAnsi="Times New Roman"/>
                <w:sz w:val="20"/>
                <w:szCs w:val="20"/>
              </w:rPr>
              <w:t xml:space="preserve"> ethnopharmacology ethnobotany</w:t>
            </w:r>
          </w:p>
        </w:tc>
      </w:tr>
      <w:tr>
        <w:trPr/>
        <w:tc>
          <w:tcPr>
            <w:tcW w:w="2350" w:type="dxa"/>
            <w:vMerge w:val="continue"/>
            <w:tcBorders>
              <w:left w:val="single" w:sz="2" w:space="0" w:color="000000"/>
              <w:bottom w:val="single" w:sz="2" w:space="0" w:color="000000"/>
            </w:tcBorders>
            <w:vAlign w:val="center"/>
          </w:tcPr>
          <w:p>
            <w:pPr>
              <w:pStyle w:val="Contedodatabela"/>
              <w:widowControl w:val="false"/>
              <w:spacing w:lineRule="auto" w:line="276" w:before="0" w:after="0"/>
              <w:jc w:val="center"/>
              <w:rPr>
                <w:rFonts w:ascii="Times New Roman" w:hAnsi="Times New Roman"/>
                <w:sz w:val="20"/>
                <w:szCs w:val="20"/>
              </w:rPr>
            </w:pPr>
            <w:r>
              <w:rPr>
                <w:rFonts w:ascii="Times New Roman" w:hAnsi="Times New Roman"/>
                <w:sz w:val="20"/>
                <w:szCs w:val="20"/>
              </w:rPr>
            </w:r>
          </w:p>
        </w:tc>
        <w:tc>
          <w:tcPr>
            <w:tcW w:w="6720"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0"/>
              <w:jc w:val="left"/>
              <w:rPr/>
            </w:pPr>
            <w:r>
              <w:rPr>
                <w:rStyle w:val="Nfase"/>
                <w:rFonts w:ascii="Times New Roman" w:hAnsi="Times New Roman"/>
                <w:sz w:val="20"/>
                <w:szCs w:val="20"/>
              </w:rPr>
              <w:t>Myracrodruon urundeuva</w:t>
            </w:r>
            <w:r>
              <w:rPr>
                <w:rFonts w:ascii="Times New Roman" w:hAnsi="Times New Roman"/>
                <w:sz w:val="20"/>
                <w:szCs w:val="20"/>
              </w:rPr>
              <w:t xml:space="preserve"> ethnopharmacology ethnobotany</w:t>
            </w:r>
          </w:p>
        </w:tc>
      </w:tr>
      <w:tr>
        <w:trPr/>
        <w:tc>
          <w:tcPr>
            <w:tcW w:w="2350" w:type="dxa"/>
            <w:vMerge w:val="continue"/>
            <w:tcBorders>
              <w:left w:val="single" w:sz="2" w:space="0" w:color="000000"/>
              <w:bottom w:val="single" w:sz="2" w:space="0" w:color="000000"/>
            </w:tcBorders>
            <w:vAlign w:val="center"/>
          </w:tcPr>
          <w:p>
            <w:pPr>
              <w:pStyle w:val="Contedodatabela"/>
              <w:widowControl w:val="false"/>
              <w:spacing w:lineRule="auto" w:line="276" w:before="0" w:after="0"/>
              <w:jc w:val="left"/>
              <w:rPr>
                <w:rFonts w:ascii="Times New Roman" w:hAnsi="Times New Roman"/>
                <w:sz w:val="20"/>
                <w:szCs w:val="20"/>
              </w:rPr>
            </w:pPr>
            <w:r>
              <w:rPr>
                <w:rFonts w:ascii="Times New Roman" w:hAnsi="Times New Roman"/>
                <w:sz w:val="20"/>
                <w:szCs w:val="20"/>
              </w:rPr>
            </w:r>
          </w:p>
        </w:tc>
        <w:tc>
          <w:tcPr>
            <w:tcW w:w="6720"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0"/>
              <w:jc w:val="left"/>
              <w:rPr/>
            </w:pPr>
            <w:r>
              <w:rPr>
                <w:rStyle w:val="Nfase"/>
                <w:rFonts w:ascii="Times New Roman" w:hAnsi="Times New Roman"/>
                <w:sz w:val="20"/>
                <w:szCs w:val="20"/>
              </w:rPr>
              <w:t>Schinus terebinthifolius</w:t>
            </w:r>
            <w:r>
              <w:rPr>
                <w:rFonts w:ascii="Times New Roman" w:hAnsi="Times New Roman"/>
                <w:sz w:val="20"/>
                <w:szCs w:val="20"/>
              </w:rPr>
              <w:t xml:space="preserve"> ethnopharmacology ethnobotany</w:t>
            </w:r>
          </w:p>
        </w:tc>
      </w:tr>
      <w:tr>
        <w:trPr/>
        <w:tc>
          <w:tcPr>
            <w:tcW w:w="2350" w:type="dxa"/>
            <w:vMerge w:val="restart"/>
            <w:tcBorders>
              <w:top w:val="single" w:sz="2" w:space="0" w:color="000000"/>
              <w:left w:val="single" w:sz="2" w:space="0" w:color="000000"/>
              <w:bottom w:val="single" w:sz="2" w:space="0" w:color="000000"/>
              <w:right w:val="single" w:sz="2" w:space="0" w:color="000000"/>
            </w:tcBorders>
            <w:vAlign w:val="center"/>
          </w:tcPr>
          <w:p>
            <w:pPr>
              <w:pStyle w:val="Contedodatabela"/>
              <w:widowControl w:val="false"/>
              <w:spacing w:lineRule="auto" w:line="276" w:before="0" w:after="0"/>
              <w:jc w:val="center"/>
              <w:rPr/>
            </w:pPr>
            <w:r>
              <w:rPr>
                <w:rStyle w:val="Strong"/>
                <w:rFonts w:ascii="Times New Roman" w:hAnsi="Times New Roman"/>
                <w:sz w:val="20"/>
                <w:szCs w:val="20"/>
              </w:rPr>
              <w:t>4 e 5</w:t>
            </w:r>
          </w:p>
        </w:tc>
        <w:tc>
          <w:tcPr>
            <w:tcW w:w="6720"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0"/>
              <w:jc w:val="left"/>
              <w:rPr/>
            </w:pPr>
            <w:r>
              <w:rPr>
                <w:rStyle w:val="Nfase"/>
                <w:rFonts w:ascii="Times New Roman" w:hAnsi="Times New Roman"/>
                <w:sz w:val="20"/>
                <w:szCs w:val="20"/>
              </w:rPr>
              <w:t>Astronium fraxinifolium</w:t>
            </w:r>
            <w:r>
              <w:rPr>
                <w:rFonts w:ascii="Times New Roman" w:hAnsi="Times New Roman"/>
                <w:sz w:val="20"/>
                <w:szCs w:val="20"/>
              </w:rPr>
              <w:t xml:space="preserve"> phytochemistry phenolic compounds flavonoids tannins</w:t>
            </w:r>
          </w:p>
        </w:tc>
      </w:tr>
      <w:tr>
        <w:trPr/>
        <w:tc>
          <w:tcPr>
            <w:tcW w:w="2350" w:type="dxa"/>
            <w:vMerge w:val="continue"/>
            <w:tcBorders>
              <w:top w:val="single" w:sz="2" w:space="0" w:color="000000"/>
              <w:left w:val="single" w:sz="2" w:space="0" w:color="000000"/>
              <w:bottom w:val="single" w:sz="2" w:space="0" w:color="000000"/>
              <w:right w:val="single" w:sz="2" w:space="0" w:color="000000"/>
            </w:tcBorders>
            <w:vAlign w:val="center"/>
          </w:tcPr>
          <w:p>
            <w:pPr>
              <w:pStyle w:val="Contedodatabela"/>
              <w:widowControl w:val="false"/>
              <w:spacing w:lineRule="auto" w:line="276" w:before="0" w:after="0"/>
              <w:jc w:val="center"/>
              <w:rPr>
                <w:rFonts w:ascii="Times New Roman" w:hAnsi="Times New Roman"/>
                <w:sz w:val="20"/>
                <w:szCs w:val="20"/>
              </w:rPr>
            </w:pPr>
            <w:r>
              <w:rPr>
                <w:rFonts w:ascii="Times New Roman" w:hAnsi="Times New Roman"/>
                <w:sz w:val="20"/>
                <w:szCs w:val="20"/>
              </w:rPr>
            </w:r>
          </w:p>
        </w:tc>
        <w:tc>
          <w:tcPr>
            <w:tcW w:w="6720"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0"/>
              <w:jc w:val="left"/>
              <w:rPr/>
            </w:pPr>
            <w:r>
              <w:rPr>
                <w:rStyle w:val="Nfase"/>
                <w:rFonts w:ascii="Times New Roman" w:hAnsi="Times New Roman"/>
                <w:sz w:val="20"/>
                <w:szCs w:val="20"/>
              </w:rPr>
              <w:t>Myracrodruon urundeuva</w:t>
            </w:r>
            <w:r>
              <w:rPr>
                <w:rFonts w:ascii="Times New Roman" w:hAnsi="Times New Roman"/>
                <w:sz w:val="20"/>
                <w:szCs w:val="20"/>
              </w:rPr>
              <w:t xml:space="preserve"> phytochemistry phenolic compounds flavonoids tannins</w:t>
            </w:r>
          </w:p>
        </w:tc>
      </w:tr>
      <w:tr>
        <w:trPr/>
        <w:tc>
          <w:tcPr>
            <w:tcW w:w="2350" w:type="dxa"/>
            <w:vMerge w:val="continue"/>
            <w:tcBorders>
              <w:top w:val="single" w:sz="2" w:space="0" w:color="000000"/>
              <w:left w:val="single" w:sz="2" w:space="0" w:color="000000"/>
              <w:bottom w:val="single" w:sz="2" w:space="0" w:color="000000"/>
              <w:right w:val="single" w:sz="2" w:space="0" w:color="000000"/>
            </w:tcBorders>
            <w:vAlign w:val="center"/>
          </w:tcPr>
          <w:p>
            <w:pPr>
              <w:pStyle w:val="Contedodatabela"/>
              <w:widowControl w:val="false"/>
              <w:spacing w:lineRule="auto" w:line="276" w:before="0" w:after="0"/>
              <w:jc w:val="center"/>
              <w:rPr>
                <w:rFonts w:ascii="Times New Roman" w:hAnsi="Times New Roman"/>
                <w:sz w:val="20"/>
                <w:szCs w:val="20"/>
              </w:rPr>
            </w:pPr>
            <w:r>
              <w:rPr>
                <w:rFonts w:ascii="Times New Roman" w:hAnsi="Times New Roman"/>
                <w:sz w:val="20"/>
                <w:szCs w:val="20"/>
              </w:rPr>
            </w:r>
          </w:p>
        </w:tc>
        <w:tc>
          <w:tcPr>
            <w:tcW w:w="6720"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0"/>
              <w:jc w:val="left"/>
              <w:rPr/>
            </w:pPr>
            <w:r>
              <w:rPr>
                <w:rStyle w:val="Nfase"/>
                <w:rFonts w:ascii="Times New Roman" w:hAnsi="Times New Roman"/>
                <w:sz w:val="20"/>
                <w:szCs w:val="20"/>
              </w:rPr>
              <w:t>Schinus terebinthifolius</w:t>
            </w:r>
            <w:r>
              <w:rPr>
                <w:rFonts w:ascii="Times New Roman" w:hAnsi="Times New Roman"/>
                <w:sz w:val="20"/>
                <w:szCs w:val="20"/>
              </w:rPr>
              <w:t xml:space="preserve"> phytochemistry phenolic compounds flavonoids tannins</w:t>
            </w:r>
          </w:p>
        </w:tc>
      </w:tr>
    </w:tbl>
    <w:p>
      <w:pPr>
        <w:pStyle w:val="Normal"/>
        <w:spacing w:lineRule="auto" w:line="276" w:before="0" w:after="0"/>
        <w:ind w:firstLine="708"/>
        <w:jc w:val="center"/>
        <w:rPr/>
      </w:pPr>
      <w:r>
        <w:rPr>
          <w:rFonts w:ascii="Times New Roman" w:hAnsi="Times New Roman"/>
          <w:b/>
          <w:bCs/>
          <w:sz w:val="18"/>
          <w:szCs w:val="18"/>
        </w:rPr>
        <w:t xml:space="preserve">Fonte: </w:t>
      </w:r>
      <w:r>
        <w:rPr>
          <w:rFonts w:ascii="Times New Roman" w:hAnsi="Times New Roman"/>
          <w:b w:val="false"/>
          <w:bCs w:val="false"/>
          <w:sz w:val="18"/>
          <w:szCs w:val="18"/>
        </w:rPr>
        <w:t>Elaboração dos autores.</w:t>
      </w:r>
    </w:p>
    <w:p>
      <w:pPr>
        <w:pStyle w:val="Normal"/>
        <w:spacing w:lineRule="auto" w:line="276" w:before="0" w:after="0"/>
        <w:ind w:firstLine="708"/>
        <w:jc w:val="both"/>
        <w:rPr/>
      </w:pPr>
      <w:r>
        <w:rPr>
          <w:rFonts w:ascii="Times New Roman" w:hAnsi="Times New Roman"/>
          <w:sz w:val="24"/>
          <w:szCs w:val="24"/>
        </w:rPr>
        <w:br/>
        <w:tab/>
        <w:t>Além da busca em bases científicas, foram consultados compêndios oficiais nacionais e internacionais de acesso público, bem como fontes disponíveis na internet para identificação de produtos comercializados contendo extratos ou derivados das espécies analisadas. Para essa etapa, foram realizadas pesquisas complementares utilizando o mecanismo de busca Google, com o objetivo de identificar produtos fitoterápicos ou cosméticos disponíveis no mercado, relacionados às espécies investigadas.</w:t>
      </w:r>
    </w:p>
    <w:p>
      <w:pPr>
        <w:pStyle w:val="Normal"/>
        <w:spacing w:lineRule="auto" w:line="276" w:before="0" w:after="0"/>
        <w:ind w:firstLine="708"/>
        <w:jc w:val="both"/>
        <w:rPr/>
      </w:pPr>
      <w:r>
        <w:rPr>
          <w:rFonts w:ascii="Times New Roman" w:hAnsi="Times New Roman"/>
          <w:sz w:val="24"/>
          <w:szCs w:val="24"/>
        </w:rPr>
        <w:t>Os dados obtidos foram analisados de forma interpretativa e comparativa, conforme recomendações metodológicas para estudos de revisão bibliográfica (GIL, 2008; MINAYO, 2014). A sistematização das informações permitiu a organização dos resultados em quadros comparativos, incluindo dados referentes às partes vegetais utilizadas, tipos de extratos empregados nos estudos, classes de metabólitos secundários identificadas, constituintes químicos descritos, usos medicinais e não medicinais, estudos de toxicidade, presença em compêndios oficiais e produtos comercializados no mercado. Esses elementos serviram de base para a análise e discussão das evidências científicas apresentadas no presente estudo.</w:t>
      </w:r>
    </w:p>
    <w:p>
      <w:pPr>
        <w:pStyle w:val="Normal"/>
        <w:spacing w:lineRule="auto" w:line="276" w:before="0" w:after="0"/>
        <w:ind w:firstLine="708"/>
        <w:jc w:val="both"/>
        <w:rPr>
          <w:rFonts w:ascii="Times New Roman" w:hAnsi="Times New Roman"/>
          <w:sz w:val="24"/>
          <w:szCs w:val="24"/>
        </w:rPr>
      </w:pPr>
      <w:r>
        <w:rPr>
          <w:rFonts w:ascii="Times New Roman" w:hAnsi="Times New Roman"/>
          <w:sz w:val="24"/>
          <w:szCs w:val="24"/>
        </w:rPr>
      </w:r>
    </w:p>
    <w:p>
      <w:pPr>
        <w:pStyle w:val="Normal"/>
        <w:spacing w:lineRule="auto" w:line="276" w:before="0" w:after="0"/>
        <w:jc w:val="both"/>
        <w:rPr/>
      </w:pPr>
      <w:r>
        <w:rPr>
          <w:rFonts w:ascii="Times New Roman" w:hAnsi="Times New Roman"/>
          <w:b/>
          <w:color w:val="000000" w:themeColor="text1"/>
          <w:sz w:val="24"/>
          <w:szCs w:val="24"/>
        </w:rPr>
        <w:t>RESULTADOS E DISCUSSÃO</w:t>
      </w:r>
    </w:p>
    <w:p>
      <w:pPr>
        <w:pStyle w:val="Normal"/>
        <w:spacing w:lineRule="auto" w:line="276" w:before="0" w:after="0"/>
        <w:jc w:val="both"/>
        <w:rPr>
          <w:rFonts w:ascii="Times New Roman" w:hAnsi="Times New Roman"/>
          <w:b/>
          <w:color w:val="905728"/>
          <w:sz w:val="24"/>
          <w:szCs w:val="24"/>
        </w:rPr>
      </w:pPr>
      <w:r>
        <w:rPr>
          <w:rFonts w:ascii="Times New Roman" w:hAnsi="Times New Roman"/>
          <w:b/>
          <w:color w:val="905728"/>
          <w:sz w:val="24"/>
          <w:szCs w:val="24"/>
        </w:rPr>
      </w:r>
    </w:p>
    <w:p>
      <w:pPr>
        <w:pStyle w:val="Normal"/>
        <w:spacing w:lineRule="auto" w:line="276" w:before="0" w:after="0"/>
        <w:jc w:val="both"/>
        <w:rPr/>
      </w:pPr>
      <w:r>
        <w:rPr>
          <w:rFonts w:eastAsia="Calibri" w:cs="Times New Roman" w:ascii="Times New Roman" w:hAnsi="Times New Roman"/>
          <w:b w:val="false"/>
          <w:bCs w:val="false"/>
          <w:color w:val="000000"/>
          <w:kern w:val="0"/>
          <w:sz w:val="24"/>
          <w:szCs w:val="24"/>
          <w:lang w:val="pt-BR" w:eastAsia="en-US" w:bidi="ar-SA"/>
        </w:rPr>
        <w:tab/>
        <w:t xml:space="preserve">Na figura 1, os pontos representam registros de ocorrência das espécies obtidos em bases de dados botânicas. Observa-se ampla distribuição das três espécies em diferentes regiões do país, com forte concentração no bioma Cerrado. </w:t>
      </w:r>
      <w:r>
        <w:rPr>
          <w:rFonts w:eastAsia="Calibri" w:cs="Times New Roman" w:ascii="Times New Roman" w:hAnsi="Times New Roman"/>
          <w:b w:val="false"/>
          <w:bCs w:val="false"/>
          <w:i/>
          <w:iCs/>
          <w:color w:val="000000"/>
          <w:kern w:val="0"/>
          <w:sz w:val="24"/>
          <w:szCs w:val="24"/>
          <w:lang w:val="pt-BR" w:eastAsia="en-US" w:bidi="ar-SA"/>
        </w:rPr>
        <w:t>A. fraxinifolium</w:t>
      </w:r>
      <w:r>
        <w:rPr>
          <w:rFonts w:eastAsia="Calibri" w:cs="Times New Roman" w:ascii="Times New Roman" w:hAnsi="Times New Roman"/>
          <w:b w:val="false"/>
          <w:bCs w:val="false"/>
          <w:color w:val="000000"/>
          <w:kern w:val="0"/>
          <w:sz w:val="24"/>
          <w:szCs w:val="24"/>
          <w:lang w:val="pt-BR" w:eastAsia="en-US" w:bidi="ar-SA"/>
        </w:rPr>
        <w:t xml:space="preserve"> apresenta maior concentração de registros na região central do Brasil; </w:t>
      </w:r>
      <w:r>
        <w:rPr>
          <w:rFonts w:eastAsia="Calibri" w:cs="Times New Roman" w:ascii="Times New Roman" w:hAnsi="Times New Roman"/>
          <w:b w:val="false"/>
          <w:bCs w:val="false"/>
          <w:i/>
          <w:iCs/>
          <w:color w:val="000000"/>
          <w:kern w:val="0"/>
          <w:sz w:val="24"/>
          <w:szCs w:val="24"/>
          <w:lang w:val="pt-BR" w:eastAsia="en-US" w:bidi="ar-SA"/>
        </w:rPr>
        <w:t>M. urundeuva</w:t>
      </w:r>
      <w:r>
        <w:rPr>
          <w:rFonts w:eastAsia="Calibri" w:cs="Times New Roman" w:ascii="Times New Roman" w:hAnsi="Times New Roman"/>
          <w:b w:val="false"/>
          <w:bCs w:val="false"/>
          <w:color w:val="000000"/>
          <w:kern w:val="0"/>
          <w:sz w:val="24"/>
          <w:szCs w:val="24"/>
          <w:lang w:val="pt-BR" w:eastAsia="en-US" w:bidi="ar-SA"/>
        </w:rPr>
        <w:t xml:space="preserve"> ocorre predominantemente no Cerrado e em áreas de transição com a Caatinga e Mata Atlântica; e </w:t>
      </w:r>
      <w:r>
        <w:rPr>
          <w:rFonts w:eastAsia="Calibri" w:cs="Times New Roman" w:ascii="Times New Roman" w:hAnsi="Times New Roman"/>
          <w:b w:val="false"/>
          <w:bCs w:val="false"/>
          <w:i/>
          <w:iCs/>
          <w:color w:val="000000"/>
          <w:kern w:val="0"/>
          <w:sz w:val="24"/>
          <w:szCs w:val="24"/>
          <w:lang w:val="pt-BR" w:eastAsia="en-US" w:bidi="ar-SA"/>
        </w:rPr>
        <w:t xml:space="preserve">S. terebinthifolius </w:t>
      </w:r>
      <w:r>
        <w:rPr>
          <w:rFonts w:eastAsia="Calibri" w:cs="Times New Roman" w:ascii="Times New Roman" w:hAnsi="Times New Roman"/>
          <w:b w:val="false"/>
          <w:bCs w:val="false"/>
          <w:color w:val="000000"/>
          <w:kern w:val="0"/>
          <w:sz w:val="24"/>
          <w:szCs w:val="24"/>
          <w:lang w:val="pt-BR" w:eastAsia="en-US" w:bidi="ar-SA"/>
        </w:rPr>
        <w:t>apresenta distribuição mais ampla, especialmente em regiões do Sudeste e Sul. Esse padrão de distribuição também é relatado em estudos florísticos e fitogeográficos do Cerrado, que destacam a elevada diversidade e adaptabilidade das espécies desse bioma (RIBEIRO; WALTER, 2008; KLINK; MACHADO, 2005).</w:t>
      </w:r>
    </w:p>
    <w:p>
      <w:pPr>
        <w:pStyle w:val="Normal"/>
        <w:spacing w:lineRule="auto" w:line="276" w:before="0" w:after="0"/>
        <w:jc w:val="both"/>
        <w:rPr/>
      </w:pPr>
      <w:r>
        <w:rPr>
          <w:rFonts w:eastAsia="Calibri" w:cs="Times New Roman" w:ascii="Times New Roman" w:hAnsi="Times New Roman"/>
          <w:b w:val="false"/>
          <w:bCs w:val="false"/>
          <w:color w:val="000000"/>
          <w:kern w:val="0"/>
          <w:sz w:val="24"/>
          <w:szCs w:val="24"/>
          <w:lang w:val="pt-BR" w:eastAsia="en-US" w:bidi="ar-SA"/>
        </w:rPr>
        <w:tab/>
        <w:t xml:space="preserve">A distribuição geográfica das espécies analisadas evidencia a forte associação das aroeiras com o bioma Cerrado, considerado um dos principais hotspots de biodiversidade do planeta. Conforme ilustrado na Figura 1, </w:t>
      </w:r>
      <w:r>
        <w:rPr>
          <w:rStyle w:val="Nfase"/>
          <w:rFonts w:eastAsia="Calibri" w:cs="Times New Roman" w:ascii="Times New Roman" w:hAnsi="Times New Roman"/>
          <w:b w:val="false"/>
          <w:bCs w:val="false"/>
          <w:color w:val="000000"/>
          <w:kern w:val="0"/>
          <w:sz w:val="24"/>
          <w:szCs w:val="24"/>
          <w:lang w:val="pt-BR" w:eastAsia="en-US" w:bidi="ar-SA"/>
        </w:rPr>
        <w:t>A. fraxinifolium</w:t>
      </w:r>
      <w:r>
        <w:rPr>
          <w:rFonts w:eastAsia="Calibri" w:cs="Times New Roman" w:ascii="Times New Roman" w:hAnsi="Times New Roman"/>
          <w:b w:val="false"/>
          <w:bCs w:val="false"/>
          <w:color w:val="000000"/>
          <w:kern w:val="0"/>
          <w:sz w:val="24"/>
          <w:szCs w:val="24"/>
          <w:lang w:val="pt-BR" w:eastAsia="en-US" w:bidi="ar-SA"/>
        </w:rPr>
        <w:t xml:space="preserve">, </w:t>
      </w:r>
      <w:r>
        <w:rPr>
          <w:rStyle w:val="Nfase"/>
          <w:rFonts w:eastAsia="Calibri" w:cs="Times New Roman" w:ascii="Times New Roman" w:hAnsi="Times New Roman"/>
          <w:b w:val="false"/>
          <w:bCs w:val="false"/>
          <w:color w:val="000000"/>
          <w:kern w:val="0"/>
          <w:sz w:val="24"/>
          <w:szCs w:val="24"/>
          <w:lang w:val="pt-BR" w:eastAsia="en-US" w:bidi="ar-SA"/>
        </w:rPr>
        <w:t>M. urundeuva</w:t>
      </w:r>
      <w:r>
        <w:rPr>
          <w:rFonts w:eastAsia="Calibri" w:cs="Times New Roman" w:ascii="Times New Roman" w:hAnsi="Times New Roman"/>
          <w:b w:val="false"/>
          <w:bCs w:val="false"/>
          <w:color w:val="000000"/>
          <w:kern w:val="0"/>
          <w:sz w:val="24"/>
          <w:szCs w:val="24"/>
          <w:lang w:val="pt-BR" w:eastAsia="en-US" w:bidi="ar-SA"/>
        </w:rPr>
        <w:t xml:space="preserve"> e </w:t>
      </w:r>
      <w:r>
        <w:rPr>
          <w:rStyle w:val="Nfase"/>
          <w:rFonts w:eastAsia="Calibri" w:cs="Times New Roman" w:ascii="Times New Roman" w:hAnsi="Times New Roman"/>
          <w:b w:val="false"/>
          <w:bCs w:val="false"/>
          <w:color w:val="000000"/>
          <w:kern w:val="0"/>
          <w:sz w:val="24"/>
          <w:szCs w:val="24"/>
          <w:lang w:val="pt-BR" w:eastAsia="en-US" w:bidi="ar-SA"/>
        </w:rPr>
        <w:t>S. terebinthifolius</w:t>
      </w:r>
      <w:r>
        <w:rPr>
          <w:rFonts w:eastAsia="Calibri" w:cs="Times New Roman" w:ascii="Times New Roman" w:hAnsi="Times New Roman"/>
          <w:b w:val="false"/>
          <w:bCs w:val="false"/>
          <w:color w:val="000000"/>
          <w:kern w:val="0"/>
          <w:sz w:val="24"/>
          <w:szCs w:val="24"/>
          <w:lang w:val="pt-BR" w:eastAsia="en-US" w:bidi="ar-SA"/>
        </w:rPr>
        <w:t xml:space="preserve"> apresentam ampla ocorrência no território brasileiro, com registros particularmente concentrados na região central do país, onde predomina o domínio fitogeográfico do Cerrado (RIBEIRO; WALTER, 2008). </w:t>
      </w:r>
    </w:p>
    <w:p>
      <w:pPr>
        <w:pStyle w:val="Corpodotexto"/>
        <w:spacing w:lineRule="auto" w:line="276"/>
        <w:jc w:val="both"/>
        <w:rPr/>
      </w:pPr>
      <w:r>
        <w:rPr/>
        <w:tab/>
      </w:r>
      <w:r>
        <w:rPr>
          <w:rFonts w:ascii="Times New Roman" w:hAnsi="Times New Roman"/>
          <w:sz w:val="24"/>
          <w:szCs w:val="24"/>
        </w:rPr>
        <w:t xml:space="preserve">Entre as espécies analisadas, </w:t>
      </w:r>
      <w:r>
        <w:rPr>
          <w:rStyle w:val="Nfase"/>
          <w:rFonts w:ascii="Times New Roman" w:hAnsi="Times New Roman"/>
          <w:sz w:val="24"/>
          <w:szCs w:val="24"/>
        </w:rPr>
        <w:t>My. urundeuva</w:t>
      </w:r>
      <w:r>
        <w:rPr>
          <w:rFonts w:ascii="Times New Roman" w:hAnsi="Times New Roman"/>
          <w:sz w:val="24"/>
          <w:szCs w:val="24"/>
        </w:rPr>
        <w:t xml:space="preserve"> apresenta distribuição significativa no Cerrado e em áreas ecotonais com a Caatinga e a Mata Atlântica, o que pode explicar sua ampla utilização em sistemas tradicionais de medicina popular. Essa espécie é amplamente reconhecida na literatura etnobotânica como uma das plantas medicinais mais relevantes do semiárido e do Cerrado brasileiro, sendo empregada principalmente no tratamento de processos inflamatórios, infecções e afecções do sistema geniturinário (CECÍLIO et al., 2012; BIESKI et al., 2012; RIBEIRO et al., 2017). </w:t>
      </w:r>
    </w:p>
    <w:p>
      <w:pPr>
        <w:pStyle w:val="Normal"/>
        <w:spacing w:lineRule="auto" w:line="276" w:before="0" w:after="0"/>
        <w:jc w:val="center"/>
        <w:rPr/>
      </w:pPr>
      <w:r>
        <w:rPr>
          <w:rFonts w:eastAsia="Calibri" w:cs="Times New Roman" w:ascii="Times New Roman" w:hAnsi="Times New Roman"/>
          <w:b/>
          <w:bCs/>
          <w:color w:val="000000"/>
          <w:kern w:val="0"/>
          <w:sz w:val="24"/>
          <w:szCs w:val="24"/>
          <w:lang w:val="pt-BR" w:eastAsia="en-US" w:bidi="ar-SA"/>
        </w:rPr>
        <w:t>Figura 1 -</w:t>
      </w:r>
      <w:r>
        <w:rPr>
          <w:rFonts w:eastAsia="Calibri" w:cs="Times New Roman" w:ascii="Times New Roman" w:hAnsi="Times New Roman"/>
          <w:b w:val="false"/>
          <w:bCs w:val="false"/>
          <w:color w:val="000000"/>
          <w:kern w:val="0"/>
          <w:sz w:val="24"/>
          <w:szCs w:val="24"/>
          <w:lang w:val="pt-BR" w:eastAsia="en-US" w:bidi="ar-SA"/>
        </w:rPr>
        <w:t xml:space="preserve"> Distribuição geográfica das espécies </w:t>
      </w:r>
      <w:r>
        <w:rPr>
          <w:rFonts w:eastAsia="Calibri" w:cs="Times New Roman" w:ascii="Times New Roman" w:hAnsi="Times New Roman"/>
          <w:b w:val="false"/>
          <w:bCs w:val="false"/>
          <w:i/>
          <w:iCs/>
          <w:color w:val="000000"/>
          <w:kern w:val="0"/>
          <w:sz w:val="24"/>
          <w:szCs w:val="24"/>
          <w:lang w:val="pt-BR" w:eastAsia="en-US" w:bidi="ar-SA"/>
        </w:rPr>
        <w:t>A. fraxinifolium</w:t>
      </w:r>
      <w:r>
        <w:rPr>
          <w:rFonts w:eastAsia="Calibri" w:cs="Times New Roman" w:ascii="Times New Roman" w:hAnsi="Times New Roman"/>
          <w:b w:val="false"/>
          <w:bCs w:val="false"/>
          <w:color w:val="000000"/>
          <w:kern w:val="0"/>
          <w:sz w:val="24"/>
          <w:szCs w:val="24"/>
          <w:lang w:val="pt-BR" w:eastAsia="en-US" w:bidi="ar-SA"/>
        </w:rPr>
        <w:t xml:space="preserve">, </w:t>
      </w:r>
      <w:r>
        <w:rPr>
          <w:rFonts w:eastAsia="Calibri" w:cs="Times New Roman" w:ascii="Times New Roman" w:hAnsi="Times New Roman"/>
          <w:b w:val="false"/>
          <w:bCs w:val="false"/>
          <w:i/>
          <w:iCs/>
          <w:color w:val="000000"/>
          <w:kern w:val="0"/>
          <w:sz w:val="24"/>
          <w:szCs w:val="24"/>
          <w:lang w:val="pt-BR" w:eastAsia="en-US" w:bidi="ar-SA"/>
        </w:rPr>
        <w:t>M. urundeuva</w:t>
      </w:r>
      <w:r>
        <w:rPr>
          <w:rFonts w:eastAsia="Calibri" w:cs="Times New Roman" w:ascii="Times New Roman" w:hAnsi="Times New Roman"/>
          <w:b w:val="false"/>
          <w:bCs w:val="false"/>
          <w:color w:val="000000"/>
          <w:kern w:val="0"/>
          <w:sz w:val="24"/>
          <w:szCs w:val="24"/>
          <w:lang w:val="pt-BR" w:eastAsia="en-US" w:bidi="ar-SA"/>
        </w:rPr>
        <w:t xml:space="preserve"> M. Allemão e </w:t>
      </w:r>
      <w:r>
        <w:rPr>
          <w:rFonts w:eastAsia="Calibri" w:cs="Times New Roman" w:ascii="Times New Roman" w:hAnsi="Times New Roman"/>
          <w:b w:val="false"/>
          <w:bCs w:val="false"/>
          <w:i/>
          <w:iCs/>
          <w:color w:val="000000"/>
          <w:kern w:val="0"/>
          <w:sz w:val="24"/>
          <w:szCs w:val="24"/>
          <w:lang w:val="pt-BR" w:eastAsia="en-US" w:bidi="ar-SA"/>
        </w:rPr>
        <w:t>S.terebinthifolius</w:t>
      </w:r>
      <w:r>
        <w:rPr>
          <w:rFonts w:eastAsia="Calibri" w:cs="Times New Roman" w:ascii="Times New Roman" w:hAnsi="Times New Roman"/>
          <w:b w:val="false"/>
          <w:bCs w:val="false"/>
          <w:color w:val="000000"/>
          <w:kern w:val="0"/>
          <w:sz w:val="24"/>
          <w:szCs w:val="24"/>
          <w:lang w:val="pt-BR" w:eastAsia="en-US" w:bidi="ar-SA"/>
        </w:rPr>
        <w:t xml:space="preserve"> no Brasil e ocorrência no bioma Cerrado.</w:t>
      </w:r>
    </w:p>
    <w:p>
      <w:pPr>
        <w:pStyle w:val="Normal"/>
        <w:spacing w:lineRule="auto" w:line="276" w:before="0" w:after="0"/>
        <w:jc w:val="both"/>
        <w:rPr>
          <w:rFonts w:ascii="Times New Roman" w:hAnsi="Times New Roman"/>
          <w:b/>
          <w:color w:val="905728"/>
          <w:sz w:val="24"/>
          <w:szCs w:val="24"/>
        </w:rPr>
      </w:pPr>
      <w:r>
        <w:rPr>
          <w:rFonts w:ascii="Times New Roman" w:hAnsi="Times New Roman"/>
          <w:b/>
          <w:color w:val="905728"/>
          <w:sz w:val="24"/>
          <w:szCs w:val="24"/>
        </w:rPr>
        <w:drawing>
          <wp:anchor behindDoc="0" distT="0" distB="0" distL="0" distR="0" simplePos="0" locked="0" layoutInCell="0" allowOverlap="1" relativeHeight="5">
            <wp:simplePos x="0" y="0"/>
            <wp:positionH relativeFrom="column">
              <wp:posOffset>245110</wp:posOffset>
            </wp:positionH>
            <wp:positionV relativeFrom="paragraph">
              <wp:posOffset>50165</wp:posOffset>
            </wp:positionV>
            <wp:extent cx="5266690" cy="351155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2"/>
                    <a:srcRect l="-207" t="-310" r="-207" b="-310"/>
                    <a:stretch>
                      <a:fillRect/>
                    </a:stretch>
                  </pic:blipFill>
                  <pic:spPr bwMode="auto">
                    <a:xfrm>
                      <a:off x="0" y="0"/>
                      <a:ext cx="5266690" cy="3511550"/>
                    </a:xfrm>
                    <a:prstGeom prst="rect">
                      <a:avLst/>
                    </a:prstGeom>
                    <a:ln>
                      <a:solidFill>
                        <a:srgbClr val="000000"/>
                      </a:solidFill>
                    </a:ln>
                  </pic:spPr>
                </pic:pic>
              </a:graphicData>
            </a:graphic>
          </wp:anchor>
        </w:drawing>
      </w:r>
    </w:p>
    <w:p>
      <w:pPr>
        <w:pStyle w:val="Normal"/>
        <w:spacing w:lineRule="auto" w:line="276"/>
        <w:rPr/>
      </w:pPr>
      <w:r>
        <w:rPr/>
      </w:r>
    </w:p>
    <w:p>
      <w:pPr>
        <w:pStyle w:val="Normal"/>
        <w:spacing w:lineRule="auto" w:line="276" w:before="0" w:after="0"/>
        <w:jc w:val="center"/>
        <w:rPr/>
      </w:pPr>
      <w:r>
        <w:rPr>
          <w:rFonts w:eastAsia="Calibri" w:cs="Times New Roman" w:ascii="Times New Roman" w:hAnsi="Times New Roman"/>
          <w:b/>
          <w:bCs/>
          <w:color w:val="000000"/>
          <w:kern w:val="0"/>
          <w:sz w:val="18"/>
          <w:szCs w:val="18"/>
          <w:lang w:val="pt-BR" w:eastAsia="en-US" w:bidi="ar-SA"/>
        </w:rPr>
        <w:t xml:space="preserve">Fonte: </w:t>
      </w:r>
      <w:r>
        <w:rPr>
          <w:rFonts w:eastAsia="Calibri" w:cs="Times New Roman" w:ascii="Times New Roman" w:hAnsi="Times New Roman"/>
          <w:b w:val="false"/>
          <w:bCs w:val="false"/>
          <w:color w:val="000000"/>
          <w:kern w:val="0"/>
          <w:sz w:val="18"/>
          <w:szCs w:val="18"/>
          <w:lang w:val="pt-BR" w:eastAsia="en-US" w:bidi="ar-SA"/>
        </w:rPr>
        <w:t>Elaboração dos autores, a partir de dados de Flora do Brasil 2020; GBIF; SpeciesLink.</w:t>
      </w:r>
    </w:p>
    <w:p>
      <w:pPr>
        <w:pStyle w:val="Normal"/>
        <w:spacing w:lineRule="auto" w:line="276" w:before="0" w:after="0"/>
        <w:jc w:val="both"/>
        <w:rPr>
          <w:rFonts w:ascii="Times New Roman" w:hAnsi="Times New Roman"/>
        </w:rPr>
      </w:pPr>
      <w:r>
        <w:rPr>
          <w:rFonts w:ascii="Times New Roman" w:hAnsi="Times New Roman"/>
        </w:rPr>
      </w:r>
    </w:p>
    <w:p>
      <w:pPr>
        <w:pStyle w:val="Corpodotexto"/>
        <w:spacing w:lineRule="auto" w:line="276" w:before="0" w:after="0"/>
        <w:jc w:val="both"/>
        <w:rPr/>
      </w:pPr>
      <w:r>
        <w:rPr>
          <w:rFonts w:eastAsia="Calibri" w:cs="Times New Roman" w:ascii="Times New Roman" w:hAnsi="Times New Roman"/>
          <w:b w:val="false"/>
          <w:bCs w:val="false"/>
          <w:color w:val="000000"/>
          <w:kern w:val="0"/>
          <w:sz w:val="24"/>
          <w:szCs w:val="24"/>
          <w:lang w:val="pt-BR" w:eastAsia="en-US" w:bidi="ar-SA"/>
        </w:rPr>
        <w:tab/>
      </w:r>
      <w:r>
        <w:rPr>
          <w:rFonts w:ascii="Times New Roman" w:hAnsi="Times New Roman"/>
          <w:color w:val="000000"/>
          <w:sz w:val="24"/>
          <w:szCs w:val="24"/>
        </w:rPr>
        <w:t xml:space="preserve">Por sua vez, </w:t>
      </w:r>
      <w:r>
        <w:rPr>
          <w:rStyle w:val="Nfase"/>
          <w:rFonts w:ascii="Times New Roman" w:hAnsi="Times New Roman"/>
          <w:color w:val="000000"/>
          <w:sz w:val="24"/>
          <w:szCs w:val="24"/>
        </w:rPr>
        <w:t>A. fraxinifolium</w:t>
      </w:r>
      <w:r>
        <w:rPr>
          <w:rFonts w:ascii="Times New Roman" w:hAnsi="Times New Roman"/>
          <w:color w:val="000000"/>
          <w:sz w:val="24"/>
          <w:szCs w:val="24"/>
        </w:rPr>
        <w:t xml:space="preserve"> apresenta registros concentrados na região central do Brasil, particularmente em áreas de Cerrado sensu stricto e formações savânicas, reforçando sua adaptação ecológica a ambientes de clima sazonal e solos bem drenados. Já </w:t>
      </w:r>
      <w:r>
        <w:rPr>
          <w:rStyle w:val="Nfase"/>
          <w:rFonts w:ascii="Times New Roman" w:hAnsi="Times New Roman"/>
          <w:color w:val="000000"/>
          <w:sz w:val="24"/>
          <w:szCs w:val="24"/>
        </w:rPr>
        <w:t>S. terebinthifolius</w:t>
      </w:r>
      <w:r>
        <w:rPr>
          <w:rFonts w:ascii="Times New Roman" w:hAnsi="Times New Roman"/>
          <w:color w:val="000000"/>
          <w:sz w:val="24"/>
          <w:szCs w:val="24"/>
        </w:rPr>
        <w:t xml:space="preserve"> apresenta distribuição mais ampla, ocorrendo tanto no Cerrado quanto em áreas de Mata Atlântica e zonas costeiras, o que contribui para sua grande difusão na medicina tradicional brasileira (LORENZI; MATOS, 2008). </w:t>
      </w:r>
    </w:p>
    <w:p>
      <w:pPr>
        <w:pStyle w:val="Corpodotexto"/>
        <w:spacing w:lineRule="auto" w:line="276" w:before="0" w:after="0"/>
        <w:jc w:val="both"/>
        <w:rPr/>
      </w:pPr>
      <w:r>
        <w:rPr>
          <w:rFonts w:ascii="Times New Roman" w:hAnsi="Times New Roman"/>
          <w:color w:val="000000"/>
          <w:sz w:val="24"/>
          <w:szCs w:val="24"/>
        </w:rPr>
        <w:tab/>
        <w:t xml:space="preserve">A ampla distribuição geográfica dessas espécies contribui para sua elevada relevância etnobotânica, uma vez que a disponibilidade ecológica influencia diretamente a incorporação das plantas nos sistemas locais de cuidado em saúde. Dessa forma, a ocorrência dessas espécies em diferentes regiões do país favorece a transmissão e manutenção do conhecimento tradicional associado às suas propriedades medicinais (GOMES; BANDEIRA, 2012). </w:t>
      </w:r>
    </w:p>
    <w:p>
      <w:pPr>
        <w:pStyle w:val="Corpodotexto"/>
        <w:spacing w:lineRule="auto" w:line="276" w:before="0" w:after="0"/>
        <w:jc w:val="both"/>
        <w:rPr/>
      </w:pPr>
      <w:r>
        <w:rPr>
          <w:rFonts w:ascii="Times New Roman" w:hAnsi="Times New Roman"/>
          <w:color w:val="000000"/>
          <w:sz w:val="24"/>
          <w:szCs w:val="24"/>
        </w:rPr>
        <w:tab/>
        <w:t xml:space="preserve">A literatura etnobotânica revela ampla diversidade de usos medicinais para as espécies de aroeira analisadas. A síntese dos principais registros de uso tradicional, partes utilizadas e formas de preparo encontra-se apresentada no Quadro 2. </w:t>
      </w:r>
    </w:p>
    <w:p>
      <w:pPr>
        <w:pStyle w:val="Corpodotexto"/>
        <w:spacing w:lineRule="auto" w:line="276" w:before="0" w:after="0"/>
        <w:jc w:val="both"/>
        <w:rPr/>
      </w:pPr>
      <w:r>
        <w:rPr>
          <w:rFonts w:ascii="Times New Roman" w:hAnsi="Times New Roman"/>
          <w:b w:val="false"/>
          <w:bCs w:val="false"/>
          <w:color w:val="000000" w:themeColor="text1"/>
          <w:sz w:val="24"/>
          <w:szCs w:val="24"/>
        </w:rPr>
        <w:t xml:space="preserve">A síntese etnobotânica apresentada no Quadro 2 evidencia a ampla diversidade de usos medicinais atribuídos às espécies </w:t>
      </w:r>
      <w:r>
        <w:rPr>
          <w:rStyle w:val="Nfase"/>
          <w:rFonts w:ascii="Times New Roman" w:hAnsi="Times New Roman"/>
          <w:b w:val="false"/>
          <w:bCs w:val="false"/>
          <w:color w:val="000000" w:themeColor="text1"/>
          <w:sz w:val="24"/>
          <w:szCs w:val="24"/>
        </w:rPr>
        <w:t>A. fraxinifolium</w:t>
      </w:r>
      <w:r>
        <w:rPr>
          <w:rFonts w:ascii="Times New Roman" w:hAnsi="Times New Roman"/>
          <w:b w:val="false"/>
          <w:bCs w:val="false"/>
          <w:color w:val="000000" w:themeColor="text1"/>
          <w:sz w:val="24"/>
          <w:szCs w:val="24"/>
        </w:rPr>
        <w:t xml:space="preserve">, </w:t>
      </w:r>
      <w:r>
        <w:rPr>
          <w:rStyle w:val="Nfase"/>
          <w:rFonts w:ascii="Times New Roman" w:hAnsi="Times New Roman"/>
          <w:b w:val="false"/>
          <w:bCs w:val="false"/>
          <w:color w:val="000000" w:themeColor="text1"/>
          <w:sz w:val="24"/>
          <w:szCs w:val="24"/>
        </w:rPr>
        <w:t>M. urundeuva</w:t>
      </w:r>
      <w:r>
        <w:rPr>
          <w:rFonts w:ascii="Times New Roman" w:hAnsi="Times New Roman"/>
          <w:b w:val="false"/>
          <w:bCs w:val="false"/>
          <w:color w:val="000000" w:themeColor="text1"/>
          <w:sz w:val="24"/>
          <w:szCs w:val="24"/>
        </w:rPr>
        <w:t xml:space="preserve"> e </w:t>
      </w:r>
      <w:r>
        <w:rPr>
          <w:rStyle w:val="Nfase"/>
          <w:rFonts w:ascii="Times New Roman" w:hAnsi="Times New Roman"/>
          <w:b w:val="false"/>
          <w:bCs w:val="false"/>
          <w:color w:val="000000" w:themeColor="text1"/>
          <w:sz w:val="24"/>
          <w:szCs w:val="24"/>
        </w:rPr>
        <w:t>S. terebinthifolius</w:t>
      </w:r>
      <w:r>
        <w:rPr>
          <w:rFonts w:ascii="Times New Roman" w:hAnsi="Times New Roman"/>
          <w:b w:val="false"/>
          <w:bCs w:val="false"/>
          <w:color w:val="000000" w:themeColor="text1"/>
          <w:sz w:val="24"/>
          <w:szCs w:val="24"/>
        </w:rPr>
        <w:t xml:space="preserve">, refletindo a relevância dessas plantas nos sistemas tradicionais de cuidado em saúde em diferentes regiões do Brasil. Observa-se que as três espécies apresentam múltiplas aplicações terapêuticas, com destaque para o tratamento de processos inflamatórios, infecções e afecções do sistema respiratório e digestivo, padrões também descritos em diferentes estudos etnobotânicos realizados no Brasil (MACÊDO et al., 2015; SARAIVA et al., 2015). </w:t>
      </w:r>
    </w:p>
    <w:p>
      <w:pPr>
        <w:pStyle w:val="Corpodotexto"/>
        <w:spacing w:lineRule="auto" w:line="276" w:before="0" w:after="0"/>
        <w:jc w:val="both"/>
        <w:rPr>
          <w:rFonts w:ascii="Times New Roman" w:hAnsi="Times New Roman"/>
          <w:b w:val="false"/>
          <w:bCs w:val="false"/>
          <w:color w:val="000000" w:themeColor="text1"/>
          <w:sz w:val="24"/>
          <w:szCs w:val="24"/>
        </w:rPr>
      </w:pPr>
      <w:r>
        <w:rPr>
          <w:rFonts w:ascii="Times New Roman" w:hAnsi="Times New Roman"/>
          <w:b w:val="false"/>
          <w:bCs w:val="false"/>
          <w:color w:val="000000" w:themeColor="text1"/>
          <w:sz w:val="24"/>
          <w:szCs w:val="24"/>
        </w:rPr>
      </w:r>
    </w:p>
    <w:p>
      <w:pPr>
        <w:pStyle w:val="Ttulo1"/>
        <w:spacing w:lineRule="auto" w:line="276" w:before="0" w:after="0"/>
        <w:ind w:hanging="0"/>
        <w:jc w:val="center"/>
        <w:rPr/>
      </w:pPr>
      <w:r>
        <w:rPr>
          <w:rFonts w:ascii="Times New Roman" w:hAnsi="Times New Roman"/>
          <w:b/>
          <w:bCs/>
          <w:color w:val="000000"/>
          <w:sz w:val="24"/>
          <w:szCs w:val="24"/>
        </w:rPr>
        <w:t xml:space="preserve">Quadro 2 - </w:t>
      </w:r>
      <w:r>
        <w:rPr>
          <w:rStyle w:val="Strong"/>
          <w:rFonts w:ascii="Times New Roman" w:hAnsi="Times New Roman"/>
          <w:b w:val="false"/>
          <w:bCs w:val="false"/>
          <w:color w:val="000000"/>
          <w:sz w:val="24"/>
          <w:szCs w:val="24"/>
        </w:rPr>
        <w:t>Síntese etnobotânica das espécies de aroeiras do Cerrado.</w:t>
      </w:r>
    </w:p>
    <w:tbl>
      <w:tblPr>
        <w:tblW w:w="9070" w:type="dxa"/>
        <w:jc w:val="left"/>
        <w:tblInd w:w="0" w:type="dxa"/>
        <w:tblLayout w:type="fixed"/>
        <w:tblCellMar>
          <w:top w:w="28" w:type="dxa"/>
          <w:left w:w="28" w:type="dxa"/>
          <w:bottom w:w="28" w:type="dxa"/>
          <w:right w:w="28" w:type="dxa"/>
        </w:tblCellMar>
      </w:tblPr>
      <w:tblGrid>
        <w:gridCol w:w="1375"/>
        <w:gridCol w:w="1258"/>
        <w:gridCol w:w="2584"/>
        <w:gridCol w:w="1693"/>
        <w:gridCol w:w="2160"/>
      </w:tblGrid>
      <w:tr>
        <w:trPr>
          <w:tblHeader w:val="true"/>
        </w:trPr>
        <w:tc>
          <w:tcPr>
            <w:tcW w:w="1375" w:type="dxa"/>
            <w:tcBorders>
              <w:top w:val="single" w:sz="2" w:space="0" w:color="000000"/>
              <w:left w:val="single" w:sz="2" w:space="0" w:color="000000"/>
              <w:bottom w:val="single" w:sz="2" w:space="0" w:color="000000"/>
            </w:tcBorders>
            <w:vAlign w:val="center"/>
          </w:tcPr>
          <w:p>
            <w:pPr>
              <w:pStyle w:val="Ttulodetabela"/>
              <w:widowControl w:val="false"/>
              <w:spacing w:lineRule="auto" w:line="276" w:before="0" w:after="200"/>
              <w:rPr/>
            </w:pPr>
            <w:r>
              <w:rPr>
                <w:rFonts w:ascii="Times New Roman" w:hAnsi="Times New Roman"/>
                <w:color w:val="000000"/>
                <w:sz w:val="20"/>
                <w:szCs w:val="20"/>
              </w:rPr>
              <w:t>Espécie</w:t>
            </w:r>
          </w:p>
        </w:tc>
        <w:tc>
          <w:tcPr>
            <w:tcW w:w="1258" w:type="dxa"/>
            <w:tcBorders>
              <w:top w:val="single" w:sz="2" w:space="0" w:color="000000"/>
              <w:left w:val="single" w:sz="2" w:space="0" w:color="000000"/>
              <w:bottom w:val="single" w:sz="2" w:space="0" w:color="000000"/>
            </w:tcBorders>
            <w:vAlign w:val="center"/>
          </w:tcPr>
          <w:p>
            <w:pPr>
              <w:pStyle w:val="Ttulodetabela"/>
              <w:widowControl w:val="false"/>
              <w:spacing w:lineRule="auto" w:line="276" w:before="0" w:after="200"/>
              <w:rPr/>
            </w:pPr>
            <w:r>
              <w:rPr>
                <w:rFonts w:ascii="Times New Roman" w:hAnsi="Times New Roman"/>
                <w:color w:val="000000"/>
                <w:sz w:val="20"/>
                <w:szCs w:val="20"/>
              </w:rPr>
              <w:t>Principais partes utilizadas</w:t>
            </w:r>
          </w:p>
        </w:tc>
        <w:tc>
          <w:tcPr>
            <w:tcW w:w="2584" w:type="dxa"/>
            <w:tcBorders>
              <w:top w:val="single" w:sz="2" w:space="0" w:color="000000"/>
              <w:left w:val="single" w:sz="2" w:space="0" w:color="000000"/>
              <w:bottom w:val="single" w:sz="2" w:space="0" w:color="000000"/>
            </w:tcBorders>
            <w:vAlign w:val="center"/>
          </w:tcPr>
          <w:p>
            <w:pPr>
              <w:pStyle w:val="Ttulodetabela"/>
              <w:widowControl w:val="false"/>
              <w:spacing w:lineRule="auto" w:line="276" w:before="0" w:after="200"/>
              <w:rPr/>
            </w:pPr>
            <w:r>
              <w:rPr>
                <w:rFonts w:ascii="Times New Roman" w:hAnsi="Times New Roman"/>
                <w:color w:val="000000"/>
                <w:sz w:val="20"/>
                <w:szCs w:val="20"/>
              </w:rPr>
              <w:t>Principais usos terapêuticos</w:t>
            </w:r>
          </w:p>
        </w:tc>
        <w:tc>
          <w:tcPr>
            <w:tcW w:w="1693" w:type="dxa"/>
            <w:tcBorders>
              <w:top w:val="single" w:sz="2" w:space="0" w:color="000000"/>
              <w:left w:val="single" w:sz="2" w:space="0" w:color="000000"/>
              <w:bottom w:val="single" w:sz="2" w:space="0" w:color="000000"/>
            </w:tcBorders>
            <w:vAlign w:val="center"/>
          </w:tcPr>
          <w:p>
            <w:pPr>
              <w:pStyle w:val="Ttulodetabela"/>
              <w:widowControl w:val="false"/>
              <w:spacing w:lineRule="auto" w:line="276" w:before="0" w:after="200"/>
              <w:rPr/>
            </w:pPr>
            <w:r>
              <w:rPr>
                <w:rFonts w:ascii="Times New Roman" w:hAnsi="Times New Roman"/>
                <w:color w:val="000000"/>
                <w:sz w:val="20"/>
                <w:szCs w:val="20"/>
              </w:rPr>
              <w:t>Formas de preparo</w:t>
            </w:r>
          </w:p>
        </w:tc>
        <w:tc>
          <w:tcPr>
            <w:tcW w:w="2160" w:type="dxa"/>
            <w:tcBorders>
              <w:top w:val="single" w:sz="2" w:space="0" w:color="000000"/>
              <w:left w:val="single" w:sz="2" w:space="0" w:color="000000"/>
              <w:bottom w:val="single" w:sz="2" w:space="0" w:color="000000"/>
              <w:right w:val="single" w:sz="2" w:space="0" w:color="000000"/>
            </w:tcBorders>
            <w:vAlign w:val="center"/>
          </w:tcPr>
          <w:p>
            <w:pPr>
              <w:pStyle w:val="Ttulodetabela"/>
              <w:widowControl w:val="false"/>
              <w:spacing w:lineRule="auto" w:line="276" w:before="0" w:after="200"/>
              <w:rPr/>
            </w:pPr>
            <w:r>
              <w:rPr>
                <w:rFonts w:ascii="Times New Roman" w:hAnsi="Times New Roman"/>
                <w:color w:val="000000"/>
                <w:sz w:val="20"/>
                <w:szCs w:val="20"/>
              </w:rPr>
              <w:t>Referências</w:t>
            </w:r>
          </w:p>
        </w:tc>
      </w:tr>
      <w:tr>
        <w:trPr/>
        <w:tc>
          <w:tcPr>
            <w:tcW w:w="1375" w:type="dxa"/>
            <w:tcBorders>
              <w:left w:val="single" w:sz="2" w:space="0" w:color="000000"/>
              <w:bottom w:val="single" w:sz="2" w:space="0" w:color="000000"/>
            </w:tcBorders>
            <w:vAlign w:val="center"/>
          </w:tcPr>
          <w:p>
            <w:pPr>
              <w:pStyle w:val="Contedodatabela"/>
              <w:widowControl w:val="false"/>
              <w:suppressLineNumbers/>
              <w:spacing w:lineRule="auto" w:line="276" w:before="0" w:after="200"/>
              <w:rPr/>
            </w:pPr>
            <w:r>
              <w:rPr>
                <w:rStyle w:val="Nfase"/>
                <w:rFonts w:ascii="Times New Roman" w:hAnsi="Times New Roman"/>
                <w:color w:val="000000"/>
                <w:sz w:val="20"/>
                <w:szCs w:val="20"/>
              </w:rPr>
              <w:t>A. fraxinifolium</w:t>
            </w:r>
            <w:r>
              <w:rPr>
                <w:rFonts w:ascii="Times New Roman" w:hAnsi="Times New Roman"/>
                <w:color w:val="000000"/>
                <w:sz w:val="20"/>
                <w:szCs w:val="20"/>
              </w:rPr>
              <w:t xml:space="preserve"> </w:t>
            </w:r>
          </w:p>
        </w:tc>
        <w:tc>
          <w:tcPr>
            <w:tcW w:w="1258"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casca, entrecasca, folhas</w:t>
            </w:r>
          </w:p>
        </w:tc>
        <w:tc>
          <w:tcPr>
            <w:tcW w:w="258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inflamações, gripe, tosse, diarreia, dores</w:t>
            </w:r>
          </w:p>
        </w:tc>
        <w:tc>
          <w:tcPr>
            <w:tcW w:w="1693"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infusão, decocção, lambedor</w:t>
            </w:r>
          </w:p>
        </w:tc>
        <w:tc>
          <w:tcPr>
            <w:tcW w:w="2160"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Macêdo et al., 2015; Saraiva et al., 2015; Costa et al., 2021</w:t>
            </w:r>
          </w:p>
        </w:tc>
      </w:tr>
      <w:tr>
        <w:trPr/>
        <w:tc>
          <w:tcPr>
            <w:tcW w:w="1375" w:type="dxa"/>
            <w:tcBorders>
              <w:left w:val="single" w:sz="2" w:space="0" w:color="000000"/>
              <w:bottom w:val="single" w:sz="2" w:space="0" w:color="000000"/>
            </w:tcBorders>
            <w:vAlign w:val="center"/>
          </w:tcPr>
          <w:p>
            <w:pPr>
              <w:pStyle w:val="Contedodatabela"/>
              <w:widowControl w:val="false"/>
              <w:suppressLineNumbers/>
              <w:spacing w:lineRule="auto" w:line="276" w:before="0" w:after="200"/>
              <w:rPr/>
            </w:pPr>
            <w:r>
              <w:rPr>
                <w:rStyle w:val="Nfase"/>
                <w:rFonts w:ascii="Times New Roman" w:hAnsi="Times New Roman"/>
                <w:color w:val="000000"/>
                <w:sz w:val="20"/>
                <w:szCs w:val="20"/>
              </w:rPr>
              <w:t>M. urundeuva</w:t>
            </w:r>
            <w:r>
              <w:rPr>
                <w:rFonts w:ascii="Times New Roman" w:hAnsi="Times New Roman"/>
                <w:color w:val="000000"/>
                <w:sz w:val="20"/>
                <w:szCs w:val="20"/>
              </w:rPr>
              <w:t xml:space="preserve"> </w:t>
            </w:r>
          </w:p>
        </w:tc>
        <w:tc>
          <w:tcPr>
            <w:tcW w:w="1258"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casca, folhas, frutos, raízes</w:t>
            </w:r>
          </w:p>
        </w:tc>
        <w:tc>
          <w:tcPr>
            <w:tcW w:w="258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inflamações, infecções geniturinárias, gastrite, úlceras, cicatrização, doenças respiratórias</w:t>
            </w:r>
          </w:p>
        </w:tc>
        <w:tc>
          <w:tcPr>
            <w:tcW w:w="1693"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decocção, maceração, banhos medicinais, cataplasma</w:t>
            </w:r>
          </w:p>
        </w:tc>
        <w:tc>
          <w:tcPr>
            <w:tcW w:w="2160"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Cecílio et al., 2012; Bieski et al., 2012; Ribeiro et al., 2017</w:t>
            </w:r>
          </w:p>
        </w:tc>
      </w:tr>
      <w:tr>
        <w:trPr/>
        <w:tc>
          <w:tcPr>
            <w:tcW w:w="1375" w:type="dxa"/>
            <w:tcBorders>
              <w:left w:val="single" w:sz="2" w:space="0" w:color="000000"/>
              <w:bottom w:val="single" w:sz="2" w:space="0" w:color="000000"/>
            </w:tcBorders>
            <w:vAlign w:val="center"/>
          </w:tcPr>
          <w:p>
            <w:pPr>
              <w:pStyle w:val="Contedodatabela"/>
              <w:widowControl w:val="false"/>
              <w:suppressLineNumbers/>
              <w:spacing w:lineRule="auto" w:line="276" w:before="0" w:after="200"/>
              <w:rPr/>
            </w:pPr>
            <w:r>
              <w:rPr>
                <w:rStyle w:val="Nfase"/>
                <w:rFonts w:ascii="Times New Roman" w:hAnsi="Times New Roman"/>
                <w:color w:val="000000"/>
                <w:sz w:val="20"/>
                <w:szCs w:val="20"/>
              </w:rPr>
              <w:t>S. terebinthifolius</w:t>
            </w:r>
            <w:r>
              <w:rPr>
                <w:rFonts w:ascii="Times New Roman" w:hAnsi="Times New Roman"/>
                <w:color w:val="000000"/>
                <w:sz w:val="20"/>
                <w:szCs w:val="20"/>
              </w:rPr>
              <w:t xml:space="preserve"> </w:t>
            </w:r>
          </w:p>
        </w:tc>
        <w:tc>
          <w:tcPr>
            <w:tcW w:w="1258"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folhas, casca, frutos</w:t>
            </w:r>
          </w:p>
        </w:tc>
        <w:tc>
          <w:tcPr>
            <w:tcW w:w="258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cicatrizante, anti-inflamatório, infecções, doenças respiratórias e gastrointestinais</w:t>
            </w:r>
          </w:p>
        </w:tc>
        <w:tc>
          <w:tcPr>
            <w:tcW w:w="1693"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infusão, decocção, cataplasma, tintura</w:t>
            </w:r>
          </w:p>
        </w:tc>
        <w:tc>
          <w:tcPr>
            <w:tcW w:w="2160"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200"/>
              <w:rPr/>
            </w:pPr>
            <w:r>
              <w:rPr>
                <w:rFonts w:ascii="Times New Roman" w:hAnsi="Times New Roman"/>
                <w:color w:val="000000"/>
                <w:sz w:val="20"/>
                <w:szCs w:val="20"/>
              </w:rPr>
              <w:t>Nascimento; Morais, 2017; Gomes; Bandeira, 2012; Bezerra et al., 2022</w:t>
            </w:r>
          </w:p>
        </w:tc>
      </w:tr>
    </w:tbl>
    <w:p>
      <w:pPr>
        <w:pStyle w:val="Normal"/>
        <w:spacing w:lineRule="auto" w:line="276" w:before="0" w:after="0"/>
        <w:ind w:hanging="0"/>
        <w:jc w:val="center"/>
        <w:rPr/>
      </w:pPr>
      <w:r>
        <w:rPr>
          <w:rFonts w:ascii="Times New Roman" w:hAnsi="Times New Roman"/>
          <w:b/>
          <w:bCs/>
          <w:color w:val="000000" w:themeColor="text1"/>
          <w:sz w:val="18"/>
          <w:szCs w:val="18"/>
        </w:rPr>
        <w:t xml:space="preserve">Fonte: </w:t>
      </w:r>
      <w:r>
        <w:rPr>
          <w:rFonts w:ascii="Times New Roman" w:hAnsi="Times New Roman"/>
          <w:b w:val="false"/>
          <w:bCs w:val="false"/>
          <w:color w:val="000000" w:themeColor="text1"/>
          <w:sz w:val="18"/>
          <w:szCs w:val="18"/>
        </w:rPr>
        <w:t>Elaboração dos autores, a partir de dados compilados da literatura etnobotânica.</w:t>
      </w:r>
    </w:p>
    <w:p>
      <w:pPr>
        <w:pStyle w:val="Normal"/>
        <w:spacing w:lineRule="auto" w:line="276" w:before="0" w:after="0"/>
        <w:ind w:hanging="0"/>
        <w:jc w:val="both"/>
        <w:rPr>
          <w:rFonts w:ascii="Times New Roman" w:hAnsi="Times New Roman"/>
          <w:color w:val="000000"/>
          <w:sz w:val="20"/>
          <w:szCs w:val="20"/>
        </w:rPr>
      </w:pPr>
      <w:r>
        <w:rPr>
          <w:rFonts w:ascii="Times New Roman" w:hAnsi="Times New Roman"/>
          <w:color w:val="000000"/>
          <w:sz w:val="20"/>
          <w:szCs w:val="20"/>
        </w:rPr>
      </w:r>
    </w:p>
    <w:p>
      <w:pPr>
        <w:pStyle w:val="Corpodotexto"/>
        <w:spacing w:lineRule="auto" w:line="276" w:before="0" w:after="0"/>
        <w:jc w:val="both"/>
        <w:rPr/>
      </w:pPr>
      <w:r>
        <w:rPr>
          <w:rFonts w:ascii="Times New Roman" w:hAnsi="Times New Roman"/>
          <w:b w:val="false"/>
          <w:bCs w:val="false"/>
          <w:color w:val="000000" w:themeColor="text1"/>
          <w:sz w:val="24"/>
          <w:szCs w:val="24"/>
        </w:rPr>
        <w:tab/>
      </w:r>
      <w:r>
        <w:rPr>
          <w:rFonts w:ascii="Times New Roman" w:hAnsi="Times New Roman"/>
          <w:color w:val="000000"/>
          <w:sz w:val="24"/>
          <w:szCs w:val="24"/>
        </w:rPr>
        <w:t xml:space="preserve">Entre as espécies analisadas, </w:t>
      </w:r>
      <w:r>
        <w:rPr>
          <w:rStyle w:val="Nfase"/>
          <w:rFonts w:ascii="Times New Roman" w:hAnsi="Times New Roman"/>
          <w:color w:val="000000"/>
          <w:sz w:val="24"/>
          <w:szCs w:val="24"/>
        </w:rPr>
        <w:t>M. urundeuva</w:t>
      </w:r>
      <w:r>
        <w:rPr>
          <w:rFonts w:ascii="Times New Roman" w:hAnsi="Times New Roman"/>
          <w:color w:val="000000"/>
          <w:sz w:val="24"/>
          <w:szCs w:val="24"/>
        </w:rPr>
        <w:t xml:space="preserve"> apresenta maior diversidade de indicações terapêuticas, incluindo usos no tratamento de inflamações, infecções geniturinárias, gastrite, úlceras e doenças respiratórias. Esse padrão também foi relatado em diversos estudos etnobotânicos conduzidos no Cerrado e em regiões de transição com a Caatinga e a Mata Atlântica, nos quais essa espécie é frequentemente citada como uma das plantas medicinais mais importantes da medicina tradicional brasileira (CECÍLIO et al., 2012; BIESKI et al., 2012; RIBEIRO et al., 2017). A elevada frequência de uso pode estar relacionada tanto à ampla distribuição geográfica da espécie quanto à presença de compostos bioativos, como taninos e flavonoides, associados a atividades anti-inflamatórias e antimicrobianas (SIMÕES et al., 2017). </w:t>
      </w:r>
    </w:p>
    <w:p>
      <w:pPr>
        <w:pStyle w:val="Corpodotexto"/>
        <w:spacing w:lineRule="auto" w:line="276" w:before="0" w:after="0"/>
        <w:jc w:val="both"/>
        <w:rPr/>
      </w:pPr>
      <w:r>
        <w:rPr>
          <w:rFonts w:ascii="Times New Roman" w:hAnsi="Times New Roman"/>
          <w:color w:val="000000"/>
          <w:sz w:val="24"/>
          <w:szCs w:val="24"/>
        </w:rPr>
        <w:tab/>
        <w:t xml:space="preserve">No caso de </w:t>
      </w:r>
      <w:r>
        <w:rPr>
          <w:rStyle w:val="Nfase"/>
          <w:rFonts w:ascii="Times New Roman" w:hAnsi="Times New Roman"/>
          <w:color w:val="000000"/>
          <w:sz w:val="24"/>
          <w:szCs w:val="24"/>
        </w:rPr>
        <w:t>A. fraxinifolium</w:t>
      </w:r>
      <w:r>
        <w:rPr>
          <w:rFonts w:ascii="Times New Roman" w:hAnsi="Times New Roman"/>
          <w:color w:val="000000"/>
          <w:sz w:val="24"/>
          <w:szCs w:val="24"/>
        </w:rPr>
        <w:t>, os registros etnobotânicos indicam predominância de usos relacionados ao tratamento de inflamações, sintomas gripais, tosse e distúrbios gastrointestinais. Esses usos são coerentes com estudos etnofarmacológicos que apontam a presença de compostos fenólicos e flavonoides com propriedades antioxidantes e anti-inflamatórias na espécie (MACÊDO et al., 2015; SARAIVA et al., 2015; PAULI et al., 2018; BRAGA et al., 2019). A utilização da casca e entrecasca, destacada no Quadro 2 e corroborada pela Figura 2, sugere que essas estruturas vegetais concentram metabólitos secundários relevantes para a atividade terapêutica observada.</w:t>
      </w:r>
    </w:p>
    <w:p>
      <w:pPr>
        <w:pStyle w:val="Corpodotexto"/>
        <w:spacing w:lineRule="auto" w:line="276" w:before="0" w:after="0"/>
        <w:jc w:val="both"/>
        <w:rPr/>
      </w:pPr>
      <w:r>
        <w:rPr>
          <w:rFonts w:ascii="Times New Roman" w:hAnsi="Times New Roman"/>
          <w:color w:val="000000"/>
          <w:sz w:val="24"/>
          <w:szCs w:val="24"/>
        </w:rPr>
        <w:tab/>
        <w:t xml:space="preserve">Por sua vez, </w:t>
      </w:r>
      <w:r>
        <w:rPr>
          <w:rStyle w:val="Nfase"/>
          <w:rFonts w:ascii="Times New Roman" w:hAnsi="Times New Roman"/>
          <w:color w:val="000000"/>
          <w:sz w:val="24"/>
          <w:szCs w:val="24"/>
        </w:rPr>
        <w:t>S. terebinthifolius</w:t>
      </w:r>
      <w:r>
        <w:rPr>
          <w:rFonts w:ascii="Times New Roman" w:hAnsi="Times New Roman"/>
          <w:color w:val="000000"/>
          <w:sz w:val="24"/>
          <w:szCs w:val="24"/>
        </w:rPr>
        <w:t xml:space="preserve"> apresenta ampla aplicação na medicina tradicional, especialmente em tratamentos relacionados à cicatrização de feridas, processos inflamatórios e infecções. A literatura científica também descreve diversas propriedades farmacológicas associadas à espécie, incluindo atividades antimicrobianas, anti-inflamatórias e cicatrizantes (BEZERRA et al., 2022; NASCIMENTO; MORAIS, 2017; GOMES; BANDEIRA, 2012). A diversidade de formas de preparo registradas para essa espécie, incluindo infusões, decocções e aplicações tópicas, evidencia a versatilidade de seu uso terapêutico.</w:t>
      </w:r>
    </w:p>
    <w:p>
      <w:pPr>
        <w:pStyle w:val="Corpodotexto"/>
        <w:spacing w:lineRule="auto" w:line="276" w:before="0" w:after="0"/>
        <w:jc w:val="both"/>
        <w:rPr/>
      </w:pPr>
      <w:r>
        <w:rPr>
          <w:rFonts w:ascii="Times New Roman" w:hAnsi="Times New Roman"/>
          <w:color w:val="000000"/>
          <w:sz w:val="24"/>
          <w:szCs w:val="24"/>
        </w:rPr>
        <w:tab/>
        <w:t xml:space="preserve">De maneira geral, observa-se que os usos terapêuticos registrados para as três espécies analisadas apresentam convergência com as principais categorias de uso identificadas na Figura 3, especialmente no tratamento de inflamações e infecções. Esse padrão reforça a importância dessas espécies no contexto da etnofarmacologia e destaca o potencial das aroeiras como fontes promissoras de compostos bioativos para o desenvolvimento de fitoterápicos (SIMÕES et al., 2017; RATES, 2001). </w:t>
      </w:r>
    </w:p>
    <w:p>
      <w:pPr>
        <w:pStyle w:val="Corpodotexto"/>
        <w:spacing w:lineRule="auto" w:line="276" w:before="0" w:after="0"/>
        <w:jc w:val="both"/>
        <w:rPr/>
      </w:pPr>
      <w:r>
        <w:rPr>
          <w:rFonts w:ascii="Times New Roman" w:hAnsi="Times New Roman"/>
          <w:color w:val="000000"/>
          <w:sz w:val="24"/>
          <w:szCs w:val="24"/>
        </w:rPr>
        <w:tab/>
        <w:t>Além disso, as formas de preparo registradas no Quadro 1 estão em consonância com as práticas tradicionais ilustradas na Figura 4, nas quais predominam preparações aquosas, como infusões e decocções. Esse tipo de preparo favorece a extração de compostos hidrossolúveis presentes nas cascas e folhas, contribuindo para a eficácia terapêutica relatada pelas populações tradicionais (SIMÕES et al., 2017; RATES, 2001).</w:t>
      </w:r>
    </w:p>
    <w:p>
      <w:pPr>
        <w:pStyle w:val="Corpodotexto"/>
        <w:spacing w:lineRule="auto" w:line="276" w:before="0" w:after="0"/>
        <w:jc w:val="both"/>
        <w:rPr/>
      </w:pPr>
      <w:r>
        <w:rPr>
          <w:rFonts w:ascii="Times New Roman" w:hAnsi="Times New Roman"/>
          <w:color w:val="000000"/>
          <w:sz w:val="24"/>
          <w:szCs w:val="24"/>
        </w:rPr>
        <w:tab/>
        <w:t xml:space="preserve">Assim, a análise integrada dos dados etnobotânicos evidencia que as aroeiras do Cerrado desempenham papel significativo nos sistemas tradicionais de saúde (ALBUQUERQUE et al., 2014) e apresentam elevado potencial para investigações fitoquímicas e farmacológicas futuras. </w:t>
      </w:r>
    </w:p>
    <w:p>
      <w:pPr>
        <w:pStyle w:val="Corpodotexto"/>
        <w:spacing w:lineRule="auto" w:line="276" w:before="0" w:after="0"/>
        <w:jc w:val="both"/>
        <w:rPr/>
      </w:pPr>
      <w:r>
        <w:rPr>
          <w:rFonts w:ascii="Times New Roman" w:hAnsi="Times New Roman"/>
          <w:color w:val="000000"/>
          <w:sz w:val="24"/>
          <w:szCs w:val="24"/>
        </w:rPr>
        <w:tab/>
        <w:t>A</w:t>
      </w:r>
      <w:r>
        <w:rPr>
          <w:rFonts w:ascii="Times New Roman" w:hAnsi="Times New Roman"/>
          <w:b w:val="false"/>
          <w:bCs w:val="false"/>
          <w:color w:val="000000" w:themeColor="text1"/>
          <w:sz w:val="24"/>
          <w:szCs w:val="24"/>
        </w:rPr>
        <w:t xml:space="preserve"> diversidade de usos terapêuticos registrados para as espécies analisadas reflete a ampla incorporação das aroeiras nos sistemas tradicionais de medicina popular. A síntese etnobotânica apresentada no Quadro 2 evidencia não apenas a variedade de aplicações medicinais atribuídas a </w:t>
      </w:r>
      <w:r>
        <w:rPr>
          <w:rStyle w:val="Nfase"/>
          <w:rFonts w:ascii="Times New Roman" w:hAnsi="Times New Roman"/>
          <w:b w:val="false"/>
          <w:bCs w:val="false"/>
          <w:color w:val="000000" w:themeColor="text1"/>
          <w:sz w:val="24"/>
          <w:szCs w:val="24"/>
        </w:rPr>
        <w:t>A. fraxinifolium</w:t>
      </w:r>
      <w:r>
        <w:rPr>
          <w:rFonts w:ascii="Times New Roman" w:hAnsi="Times New Roman"/>
          <w:b w:val="false"/>
          <w:bCs w:val="false"/>
          <w:color w:val="000000" w:themeColor="text1"/>
          <w:sz w:val="24"/>
          <w:szCs w:val="24"/>
        </w:rPr>
        <w:t xml:space="preserve">, </w:t>
      </w:r>
      <w:r>
        <w:rPr>
          <w:rStyle w:val="Nfase"/>
          <w:rFonts w:ascii="Times New Roman" w:hAnsi="Times New Roman"/>
          <w:b w:val="false"/>
          <w:bCs w:val="false"/>
          <w:color w:val="000000" w:themeColor="text1"/>
          <w:sz w:val="24"/>
          <w:szCs w:val="24"/>
        </w:rPr>
        <w:t>M. urundeuva</w:t>
      </w:r>
      <w:r>
        <w:rPr>
          <w:rFonts w:ascii="Times New Roman" w:hAnsi="Times New Roman"/>
          <w:b w:val="false"/>
          <w:bCs w:val="false"/>
          <w:color w:val="000000" w:themeColor="text1"/>
          <w:sz w:val="24"/>
          <w:szCs w:val="24"/>
        </w:rPr>
        <w:t xml:space="preserve"> e </w:t>
      </w:r>
      <w:r>
        <w:rPr>
          <w:rStyle w:val="Nfase"/>
          <w:rFonts w:ascii="Times New Roman" w:hAnsi="Times New Roman"/>
          <w:b w:val="false"/>
          <w:bCs w:val="false"/>
          <w:color w:val="000000" w:themeColor="text1"/>
          <w:sz w:val="24"/>
          <w:szCs w:val="24"/>
        </w:rPr>
        <w:t>S. terebinthifolius</w:t>
      </w:r>
      <w:r>
        <w:rPr>
          <w:rFonts w:ascii="Times New Roman" w:hAnsi="Times New Roman"/>
          <w:b w:val="false"/>
          <w:bCs w:val="false"/>
          <w:color w:val="000000" w:themeColor="text1"/>
          <w:sz w:val="24"/>
          <w:szCs w:val="24"/>
        </w:rPr>
        <w:t xml:space="preserve">, mas também a diversidade de partes vegetais utilizadas e formas de preparo associadas ao seu uso terapêutico. A análise quantitativa desses registros etnobotânicos permite identificar padrões recorrentes na utilização dessas espécies, os quais são apresentados nas Figuras 2, 3, 4 e 5. </w:t>
      </w:r>
    </w:p>
    <w:p>
      <w:pPr>
        <w:pStyle w:val="Normal"/>
        <w:spacing w:lineRule="auto" w:line="276" w:before="0" w:after="0"/>
        <w:jc w:val="both"/>
        <w:rPr/>
      </w:pPr>
      <w:r>
        <w:rPr>
          <w:rFonts w:ascii="Times New Roman" w:hAnsi="Times New Roman"/>
          <w:b w:val="false"/>
          <w:bCs w:val="false"/>
          <w:color w:val="000000" w:themeColor="text1"/>
          <w:sz w:val="24"/>
          <w:szCs w:val="24"/>
        </w:rPr>
        <w:tab/>
        <w:t xml:space="preserve">A análise apresentada na </w:t>
      </w:r>
      <w:r>
        <w:rPr>
          <w:rStyle w:val="Strong"/>
          <w:rFonts w:ascii="Times New Roman" w:hAnsi="Times New Roman"/>
          <w:color w:val="000000" w:themeColor="text1"/>
          <w:sz w:val="24"/>
          <w:szCs w:val="24"/>
        </w:rPr>
        <w:t>Figura 2</w:t>
      </w:r>
      <w:r>
        <w:rPr>
          <w:rFonts w:ascii="Times New Roman" w:hAnsi="Times New Roman"/>
          <w:b w:val="false"/>
          <w:bCs w:val="false"/>
          <w:color w:val="000000" w:themeColor="text1"/>
          <w:sz w:val="24"/>
          <w:szCs w:val="24"/>
        </w:rPr>
        <w:t xml:space="preserve"> evidencia a predominância do uso da casca e da entrecasca nas espécies de aroeira analisadas. Esse padrão é frequentemente observado em estudos etnobotânicos envolvendo espécies arbóreas do Cerrado, nos quais essas estruturas vegetais concentram elevados teores de metabólitos secundários, especialmente taninos e compostos fenólicos (SIMÕES et al., 2017). Esses compostos são amplamente associados a propriedades anti-inflamatórias, antimicrobianas e cicatrizantes, o que pode explicar a preferência pelo uso dessas partes vegetais na medicina tradicional. </w:t>
      </w:r>
    </w:p>
    <w:p>
      <w:pPr>
        <w:pStyle w:val="Normal"/>
        <w:spacing w:lineRule="auto" w:line="276" w:before="0" w:after="0"/>
        <w:jc w:val="both"/>
        <w:rPr/>
      </w:pPr>
      <w:r>
        <w:rPr>
          <w:rFonts w:ascii="Times New Roman" w:hAnsi="Times New Roman"/>
          <w:b/>
          <w:bCs w:val="false"/>
          <w:color w:val="000000" w:themeColor="text1"/>
          <w:sz w:val="24"/>
          <w:szCs w:val="24"/>
        </w:rPr>
        <w:tab/>
      </w:r>
    </w:p>
    <w:p>
      <w:pPr>
        <w:pStyle w:val="Normal"/>
        <w:spacing w:lineRule="auto" w:line="276" w:before="0" w:after="0"/>
        <w:jc w:val="center"/>
        <w:rPr/>
      </w:pPr>
      <w:r>
        <w:rPr>
          <w:rFonts w:ascii="Times New Roman" w:hAnsi="Times New Roman"/>
          <w:b/>
          <w:bCs w:val="false"/>
          <w:color w:val="000000" w:themeColor="text1"/>
          <w:sz w:val="24"/>
          <w:szCs w:val="24"/>
        </w:rPr>
        <w:t xml:space="preserve">Figura 2 – </w:t>
      </w:r>
      <w:r>
        <w:rPr>
          <w:rFonts w:ascii="Times New Roman" w:hAnsi="Times New Roman"/>
          <w:b w:val="false"/>
          <w:bCs w:val="false"/>
          <w:color w:val="000000" w:themeColor="text1"/>
          <w:sz w:val="24"/>
          <w:szCs w:val="24"/>
        </w:rPr>
        <w:t>Partes da planta utilizadas das aroeiras do Cerrado.</w:t>
      </w:r>
    </w:p>
    <w:p>
      <w:pPr>
        <w:pStyle w:val="Normal"/>
        <w:spacing w:lineRule="auto" w:line="276" w:before="0" w:after="0"/>
        <w:ind w:hanging="0"/>
        <w:jc w:val="center"/>
        <w:rPr/>
      </w:pPr>
      <w:r>
        <w:drawing>
          <wp:anchor behindDoc="0" distT="0" distB="0" distL="0" distR="0" simplePos="0" locked="0" layoutInCell="0" allowOverlap="1" relativeHeight="6">
            <wp:simplePos x="0" y="0"/>
            <wp:positionH relativeFrom="column">
              <wp:posOffset>1602105</wp:posOffset>
            </wp:positionH>
            <wp:positionV relativeFrom="paragraph">
              <wp:posOffset>39370</wp:posOffset>
            </wp:positionV>
            <wp:extent cx="2689225" cy="1486535"/>
            <wp:effectExtent l="0" t="0" r="0" b="0"/>
            <wp:wrapTopAndBottom/>
            <wp:docPr id="2"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3" descr=""/>
                    <pic:cNvPicPr>
                      <a:picLocks noChangeAspect="1" noChangeArrowheads="1"/>
                    </pic:cNvPicPr>
                  </pic:nvPicPr>
                  <pic:blipFill>
                    <a:blip r:embed="rId3"/>
                    <a:srcRect l="-250" t="-452" r="-250" b="-452"/>
                    <a:stretch>
                      <a:fillRect/>
                    </a:stretch>
                  </pic:blipFill>
                  <pic:spPr bwMode="auto">
                    <a:xfrm>
                      <a:off x="0" y="0"/>
                      <a:ext cx="2689225" cy="1486535"/>
                    </a:xfrm>
                    <a:prstGeom prst="rect">
                      <a:avLst/>
                    </a:prstGeom>
                    <a:ln>
                      <a:solidFill>
                        <a:srgbClr val="000000"/>
                      </a:solidFill>
                    </a:ln>
                  </pic:spPr>
                </pic:pic>
              </a:graphicData>
            </a:graphic>
          </wp:anchor>
        </w:drawing>
      </w:r>
      <w:r>
        <w:rPr>
          <w:rFonts w:ascii="Times New Roman" w:hAnsi="Times New Roman"/>
          <w:b/>
          <w:bCs/>
          <w:color w:val="000000" w:themeColor="text1"/>
          <w:sz w:val="18"/>
          <w:szCs w:val="18"/>
        </w:rPr>
        <w:t xml:space="preserve">Fonte: </w:t>
      </w:r>
      <w:r>
        <w:rPr>
          <w:rFonts w:ascii="Times New Roman" w:hAnsi="Times New Roman"/>
          <w:b w:val="false"/>
          <w:bCs w:val="false"/>
          <w:color w:val="000000" w:themeColor="text1"/>
          <w:sz w:val="18"/>
          <w:szCs w:val="18"/>
        </w:rPr>
        <w:t>Elaboração dos autores, a partir de dados compilados da literatura etnobotânica.</w:t>
      </w:r>
    </w:p>
    <w:p>
      <w:pPr>
        <w:pStyle w:val="Normal"/>
        <w:spacing w:lineRule="auto" w:line="276" w:before="0" w:after="0"/>
        <w:ind w:hanging="0"/>
        <w:jc w:val="center"/>
        <w:rPr>
          <w:rFonts w:ascii="Times New Roman" w:hAnsi="Times New Roman"/>
          <w:b w:val="false"/>
          <w:bCs w:val="false"/>
          <w:color w:val="000000" w:themeColor="text1"/>
          <w:sz w:val="18"/>
          <w:szCs w:val="18"/>
        </w:rPr>
      </w:pPr>
      <w:r>
        <w:rPr>
          <w:rFonts w:ascii="Times New Roman" w:hAnsi="Times New Roman"/>
          <w:b w:val="false"/>
          <w:bCs w:val="false"/>
          <w:color w:val="000000" w:themeColor="text1"/>
          <w:sz w:val="18"/>
          <w:szCs w:val="18"/>
        </w:rPr>
      </w:r>
    </w:p>
    <w:p>
      <w:pPr>
        <w:pStyle w:val="Normal"/>
        <w:spacing w:lineRule="auto" w:line="276" w:before="0" w:after="0"/>
        <w:ind w:hanging="0"/>
        <w:jc w:val="both"/>
        <w:rPr/>
      </w:pPr>
      <w:r>
        <w:rPr>
          <w:rFonts w:ascii="Times New Roman" w:hAnsi="Times New Roman"/>
          <w:sz w:val="24"/>
          <w:szCs w:val="24"/>
        </w:rPr>
        <w:tab/>
        <w:t xml:space="preserve">Estudos etnobotânicos realizados em diferentes regiões do Brasil também apontam que a casca de espécies como </w:t>
      </w:r>
      <w:r>
        <w:rPr>
          <w:rStyle w:val="Nfase"/>
          <w:rFonts w:ascii="Times New Roman" w:hAnsi="Times New Roman"/>
          <w:sz w:val="24"/>
          <w:szCs w:val="24"/>
        </w:rPr>
        <w:t>Myracrodruon urundeuva</w:t>
      </w:r>
      <w:r>
        <w:rPr>
          <w:rFonts w:ascii="Times New Roman" w:hAnsi="Times New Roman"/>
          <w:sz w:val="24"/>
          <w:szCs w:val="24"/>
        </w:rPr>
        <w:t xml:space="preserve"> e </w:t>
      </w:r>
      <w:r>
        <w:rPr>
          <w:rStyle w:val="Nfase"/>
          <w:rFonts w:ascii="Times New Roman" w:hAnsi="Times New Roman"/>
          <w:sz w:val="24"/>
          <w:szCs w:val="24"/>
        </w:rPr>
        <w:t>Schinus terebinthifolius</w:t>
      </w:r>
      <w:r>
        <w:rPr>
          <w:rFonts w:ascii="Times New Roman" w:hAnsi="Times New Roman"/>
          <w:sz w:val="24"/>
          <w:szCs w:val="24"/>
        </w:rPr>
        <w:t xml:space="preserve"> apresenta elevada frequência de uso em preparações medicinais tradicionais, principalmente no tratamento de processos inflamatórios e infecções (CECÍLIO et al., 2012; BIESKI et al., 2012). No entanto, a coleta intensiva dessas estruturas pode gerar impactos ecológicos relevantes, uma vez que a remoção da casca pode comprometer o desenvolvimento da planta. Esse aspecto ressalta a importância de estratégias de manejo sustentável e conservação das espécies nativas do Cerrado (KLINK; MACHADO, 2005; RIBEIRO; WALTER, 2008). </w:t>
      </w:r>
    </w:p>
    <w:p>
      <w:pPr>
        <w:pStyle w:val="Normal"/>
        <w:spacing w:lineRule="auto" w:line="276" w:before="0" w:after="0"/>
        <w:ind w:hanging="0"/>
        <w:jc w:val="both"/>
        <w:rPr/>
      </w:pPr>
      <w:r>
        <w:rPr>
          <w:rFonts w:ascii="Times New Roman" w:hAnsi="Times New Roman"/>
          <w:sz w:val="24"/>
          <w:szCs w:val="24"/>
        </w:rPr>
        <w:tab/>
        <w:t xml:space="preserve">Os dados apresentados na </w:t>
      </w:r>
      <w:r>
        <w:rPr>
          <w:rStyle w:val="Strong"/>
          <w:rFonts w:ascii="Times New Roman" w:hAnsi="Times New Roman"/>
          <w:sz w:val="24"/>
          <w:szCs w:val="24"/>
        </w:rPr>
        <w:t>Figura 3</w:t>
      </w:r>
      <w:r>
        <w:rPr>
          <w:rFonts w:ascii="Times New Roman" w:hAnsi="Times New Roman"/>
          <w:sz w:val="24"/>
          <w:szCs w:val="24"/>
        </w:rPr>
        <w:t xml:space="preserve"> indicam que as indicações terapêuticas mais frequentemente associadas às espécies de aroeira concentram-se no tratamento de processos inflamatórios e infecciosos. Esse padrão é amplamente relatado na literatura etnobotânica e farmacológica, sendo atribuído principalmente à presença de metabólitos secundários bioativos, como flavonoides, taninos e terpenos, compostos conhecidos por suas propriedades anti-inflamatórias e antimicrobianas (SIMÕES et al., 2017; MACIEL et al., 2002). </w:t>
      </w:r>
    </w:p>
    <w:p>
      <w:pPr>
        <w:pStyle w:val="Normal"/>
        <w:spacing w:lineRule="auto" w:line="276" w:before="0" w:after="0"/>
        <w:ind w:hanging="0"/>
        <w:jc w:val="both"/>
        <w:rPr>
          <w:rFonts w:ascii="Times New Roman" w:hAnsi="Times New Roman"/>
          <w:sz w:val="24"/>
          <w:szCs w:val="24"/>
        </w:rPr>
      </w:pPr>
      <w:r>
        <w:rPr>
          <w:rFonts w:ascii="Times New Roman" w:hAnsi="Times New Roman"/>
          <w:sz w:val="24"/>
          <w:szCs w:val="24"/>
        </w:rPr>
      </w:r>
    </w:p>
    <w:p>
      <w:pPr>
        <w:pStyle w:val="Normal"/>
        <w:spacing w:lineRule="auto" w:line="276" w:before="0" w:after="0"/>
        <w:jc w:val="center"/>
        <w:rPr/>
      </w:pPr>
      <w:r>
        <w:rPr>
          <w:rFonts w:ascii="Times New Roman" w:hAnsi="Times New Roman"/>
          <w:b/>
          <w:bCs/>
          <w:color w:val="000000" w:themeColor="text1"/>
          <w:sz w:val="24"/>
          <w:szCs w:val="24"/>
        </w:rPr>
        <w:t xml:space="preserve">Figura 3 – </w:t>
      </w:r>
      <w:r>
        <w:rPr>
          <w:rFonts w:ascii="Times New Roman" w:hAnsi="Times New Roman"/>
          <w:b w:val="false"/>
          <w:bCs w:val="false"/>
          <w:color w:val="000000" w:themeColor="text1"/>
          <w:sz w:val="24"/>
          <w:szCs w:val="24"/>
        </w:rPr>
        <w:t>Categorias de uso terapêutico das aroeiras do Cerrado.</w:t>
      </w:r>
    </w:p>
    <w:p>
      <w:pPr>
        <w:pStyle w:val="Normal"/>
        <w:spacing w:lineRule="auto" w:line="276" w:before="0" w:after="0"/>
        <w:ind w:hanging="0"/>
        <w:jc w:val="center"/>
        <w:rPr/>
      </w:pPr>
      <w:r>
        <w:drawing>
          <wp:anchor behindDoc="0" distT="0" distB="0" distL="0" distR="0" simplePos="0" locked="0" layoutInCell="0" allowOverlap="1" relativeHeight="7">
            <wp:simplePos x="0" y="0"/>
            <wp:positionH relativeFrom="column">
              <wp:posOffset>1595120</wp:posOffset>
            </wp:positionH>
            <wp:positionV relativeFrom="paragraph">
              <wp:posOffset>635</wp:posOffset>
            </wp:positionV>
            <wp:extent cx="2689225" cy="1559560"/>
            <wp:effectExtent l="0" t="0" r="0" b="0"/>
            <wp:wrapTopAndBottom/>
            <wp:docPr id="3" name="Figura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4" descr=""/>
                    <pic:cNvPicPr>
                      <a:picLocks noChangeAspect="1" noChangeArrowheads="1"/>
                    </pic:cNvPicPr>
                  </pic:nvPicPr>
                  <pic:blipFill>
                    <a:blip r:embed="rId4"/>
                    <a:srcRect l="-221" t="-371" r="-221" b="-371"/>
                    <a:stretch>
                      <a:fillRect/>
                    </a:stretch>
                  </pic:blipFill>
                  <pic:spPr bwMode="auto">
                    <a:xfrm>
                      <a:off x="0" y="0"/>
                      <a:ext cx="2689225" cy="1559560"/>
                    </a:xfrm>
                    <a:prstGeom prst="rect">
                      <a:avLst/>
                    </a:prstGeom>
                    <a:ln>
                      <a:solidFill>
                        <a:srgbClr val="000000"/>
                      </a:solidFill>
                    </a:ln>
                  </pic:spPr>
                </pic:pic>
              </a:graphicData>
            </a:graphic>
          </wp:anchor>
        </w:drawing>
      </w:r>
      <w:r>
        <w:rPr>
          <w:rFonts w:ascii="Times New Roman" w:hAnsi="Times New Roman"/>
          <w:b/>
          <w:bCs/>
          <w:color w:val="000000" w:themeColor="text1"/>
          <w:sz w:val="18"/>
          <w:szCs w:val="18"/>
        </w:rPr>
        <w:t xml:space="preserve">Fonte: </w:t>
      </w:r>
      <w:r>
        <w:rPr>
          <w:rFonts w:ascii="Times New Roman" w:hAnsi="Times New Roman"/>
          <w:b w:val="false"/>
          <w:bCs w:val="false"/>
          <w:color w:val="000000" w:themeColor="text1"/>
          <w:sz w:val="18"/>
          <w:szCs w:val="18"/>
        </w:rPr>
        <w:t>Elaboração dos autores, a partir de dados compilados da literatura etnobotânica.</w:t>
      </w:r>
    </w:p>
    <w:p>
      <w:pPr>
        <w:pStyle w:val="Normal"/>
        <w:spacing w:lineRule="auto" w:line="276" w:before="0" w:after="0"/>
        <w:ind w:hanging="0"/>
        <w:jc w:val="center"/>
        <w:rPr>
          <w:rFonts w:ascii="Times New Roman" w:hAnsi="Times New Roman"/>
          <w:b w:val="false"/>
          <w:bCs w:val="false"/>
          <w:color w:val="000000" w:themeColor="text1"/>
          <w:sz w:val="18"/>
          <w:szCs w:val="18"/>
        </w:rPr>
      </w:pPr>
      <w:r>
        <w:rPr>
          <w:rFonts w:ascii="Times New Roman" w:hAnsi="Times New Roman"/>
          <w:b w:val="false"/>
          <w:bCs w:val="false"/>
          <w:color w:val="000000" w:themeColor="text1"/>
          <w:sz w:val="18"/>
          <w:szCs w:val="18"/>
        </w:rPr>
      </w:r>
    </w:p>
    <w:p>
      <w:pPr>
        <w:pStyle w:val="Normal"/>
        <w:spacing w:lineRule="auto" w:line="276" w:before="0" w:after="0"/>
        <w:ind w:hanging="0"/>
        <w:jc w:val="both"/>
        <w:rPr/>
      </w:pPr>
      <w:r>
        <w:rPr>
          <w:rFonts w:ascii="Times New Roman" w:hAnsi="Times New Roman"/>
          <w:b w:val="false"/>
          <w:bCs w:val="false"/>
          <w:color w:val="000000" w:themeColor="text1"/>
          <w:sz w:val="24"/>
          <w:szCs w:val="24"/>
        </w:rPr>
        <w:tab/>
        <w:t xml:space="preserve">Estudos experimentais envolvendo extratos de </w:t>
      </w:r>
      <w:r>
        <w:rPr>
          <w:rStyle w:val="Nfase"/>
          <w:rFonts w:ascii="Times New Roman" w:hAnsi="Times New Roman"/>
          <w:b w:val="false"/>
          <w:bCs w:val="false"/>
          <w:color w:val="000000" w:themeColor="text1"/>
          <w:sz w:val="24"/>
          <w:szCs w:val="24"/>
        </w:rPr>
        <w:t>Myracrodruon urundeuva</w:t>
      </w:r>
      <w:r>
        <w:rPr>
          <w:rFonts w:ascii="Times New Roman" w:hAnsi="Times New Roman"/>
          <w:b w:val="false"/>
          <w:bCs w:val="false"/>
          <w:color w:val="000000" w:themeColor="text1"/>
          <w:sz w:val="24"/>
          <w:szCs w:val="24"/>
        </w:rPr>
        <w:t xml:space="preserve"> e </w:t>
      </w:r>
      <w:r>
        <w:rPr>
          <w:rStyle w:val="Nfase"/>
          <w:rFonts w:ascii="Times New Roman" w:hAnsi="Times New Roman"/>
          <w:b w:val="false"/>
          <w:bCs w:val="false"/>
          <w:color w:val="000000" w:themeColor="text1"/>
          <w:sz w:val="24"/>
          <w:szCs w:val="24"/>
        </w:rPr>
        <w:t>Schinus terebinthifolius</w:t>
      </w:r>
      <w:r>
        <w:rPr>
          <w:rFonts w:ascii="Times New Roman" w:hAnsi="Times New Roman"/>
          <w:b w:val="false"/>
          <w:bCs w:val="false"/>
          <w:color w:val="000000" w:themeColor="text1"/>
          <w:sz w:val="24"/>
          <w:szCs w:val="24"/>
        </w:rPr>
        <w:t xml:space="preserve"> demonstram atividade antimicrobiana significativa contra diferentes microrganismos patogênicos, além de efeitos anti-inflamatórios relevantes em modelos experimentais (CECÍLIO et al., 2012; NASCIMENTO; MORAIS, 2017). Esses resultados reforçam a convergência entre o conhecimento tradicional e as evidências farmacológicas descritas na literatura científica, evidenciando o potencial dessas espécies para o desenvolvimento de fitoterápicos. </w:t>
      </w:r>
    </w:p>
    <w:p>
      <w:pPr>
        <w:pStyle w:val="Normal"/>
        <w:spacing w:lineRule="auto" w:line="276" w:before="0" w:after="0"/>
        <w:ind w:hanging="0"/>
        <w:jc w:val="both"/>
        <w:rPr/>
      </w:pPr>
      <w:r>
        <w:rPr>
          <w:rFonts w:ascii="Times New Roman" w:hAnsi="Times New Roman"/>
          <w:b w:val="false"/>
          <w:bCs w:val="false"/>
          <w:color w:val="000000" w:themeColor="text1"/>
          <w:sz w:val="24"/>
          <w:szCs w:val="24"/>
        </w:rPr>
        <w:tab/>
        <w:t xml:space="preserve">A </w:t>
      </w:r>
      <w:r>
        <w:rPr>
          <w:rStyle w:val="Strong"/>
          <w:rFonts w:ascii="Times New Roman" w:hAnsi="Times New Roman"/>
          <w:color w:val="000000" w:themeColor="text1"/>
          <w:sz w:val="24"/>
          <w:szCs w:val="24"/>
        </w:rPr>
        <w:t>Figura 4</w:t>
      </w:r>
      <w:r>
        <w:rPr>
          <w:rFonts w:ascii="Times New Roman" w:hAnsi="Times New Roman"/>
          <w:b w:val="false"/>
          <w:bCs w:val="false"/>
          <w:color w:val="000000" w:themeColor="text1"/>
          <w:sz w:val="24"/>
          <w:szCs w:val="24"/>
        </w:rPr>
        <w:t xml:space="preserve"> demonstra a predominância de preparações aquosas, especialmente infusões e decocções, nas formas de uso tradicional das espécies de aroeira. Esse padrão é amplamente observado em sistemas tradicionais de medicina popular, uma vez que essas técnicas permitem a extração eficiente de compostos hidrossolúveis presentes nas plantas medicinais (SIMÕES et al., 2017). </w:t>
      </w:r>
    </w:p>
    <w:p>
      <w:pPr>
        <w:pStyle w:val="Normal"/>
        <w:spacing w:lineRule="auto" w:line="276" w:before="0" w:after="0"/>
        <w:ind w:hanging="0"/>
        <w:jc w:val="both"/>
        <w:rPr>
          <w:rFonts w:ascii="Times New Roman" w:hAnsi="Times New Roman"/>
          <w:b w:val="false"/>
          <w:bCs w:val="false"/>
          <w:color w:val="000000" w:themeColor="text1"/>
          <w:sz w:val="18"/>
          <w:szCs w:val="18"/>
        </w:rPr>
      </w:pPr>
      <w:r>
        <w:rPr>
          <w:rFonts w:ascii="Times New Roman" w:hAnsi="Times New Roman"/>
          <w:b w:val="false"/>
          <w:bCs w:val="false"/>
          <w:color w:val="000000" w:themeColor="text1"/>
          <w:sz w:val="18"/>
          <w:szCs w:val="18"/>
        </w:rPr>
      </w:r>
    </w:p>
    <w:p>
      <w:pPr>
        <w:pStyle w:val="Normal"/>
        <w:spacing w:lineRule="auto" w:line="276" w:before="0" w:after="0"/>
        <w:jc w:val="center"/>
        <w:rPr/>
      </w:pPr>
      <w:r>
        <w:rPr>
          <w:rFonts w:ascii="Times New Roman" w:hAnsi="Times New Roman"/>
          <w:b/>
          <w:bCs/>
          <w:color w:val="000000" w:themeColor="text1"/>
          <w:sz w:val="24"/>
          <w:szCs w:val="24"/>
        </w:rPr>
        <w:t xml:space="preserve">Figura 4 – </w:t>
      </w:r>
      <w:r>
        <w:rPr>
          <w:rFonts w:ascii="Times New Roman" w:hAnsi="Times New Roman"/>
          <w:b w:val="false"/>
          <w:bCs w:val="false"/>
          <w:color w:val="000000" w:themeColor="text1"/>
          <w:sz w:val="24"/>
          <w:szCs w:val="24"/>
        </w:rPr>
        <w:t>Formas tradicionais de preparo das aroeiras do Cerrado.</w:t>
      </w:r>
    </w:p>
    <w:p>
      <w:pPr>
        <w:pStyle w:val="Normal"/>
        <w:spacing w:lineRule="auto" w:line="276" w:before="0" w:after="0"/>
        <w:ind w:hanging="0"/>
        <w:jc w:val="center"/>
        <w:rPr/>
      </w:pPr>
      <w:r>
        <w:drawing>
          <wp:anchor behindDoc="0" distT="0" distB="0" distL="0" distR="0" simplePos="0" locked="0" layoutInCell="0" allowOverlap="1" relativeHeight="8">
            <wp:simplePos x="0" y="0"/>
            <wp:positionH relativeFrom="column">
              <wp:posOffset>1548130</wp:posOffset>
            </wp:positionH>
            <wp:positionV relativeFrom="paragraph">
              <wp:posOffset>635</wp:posOffset>
            </wp:positionV>
            <wp:extent cx="2689225" cy="1486535"/>
            <wp:effectExtent l="0" t="0" r="0" b="0"/>
            <wp:wrapTopAndBottom/>
            <wp:docPr id="4"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5" descr=""/>
                    <pic:cNvPicPr>
                      <a:picLocks noChangeAspect="1" noChangeArrowheads="1"/>
                    </pic:cNvPicPr>
                  </pic:nvPicPr>
                  <pic:blipFill>
                    <a:blip r:embed="rId5"/>
                    <a:srcRect l="-224" t="-374" r="-224" b="-374"/>
                    <a:stretch>
                      <a:fillRect/>
                    </a:stretch>
                  </pic:blipFill>
                  <pic:spPr bwMode="auto">
                    <a:xfrm>
                      <a:off x="0" y="0"/>
                      <a:ext cx="2689225" cy="1486535"/>
                    </a:xfrm>
                    <a:prstGeom prst="rect">
                      <a:avLst/>
                    </a:prstGeom>
                    <a:ln>
                      <a:solidFill>
                        <a:srgbClr val="000000"/>
                      </a:solidFill>
                    </a:ln>
                  </pic:spPr>
                </pic:pic>
              </a:graphicData>
            </a:graphic>
          </wp:anchor>
        </w:drawing>
      </w:r>
      <w:r>
        <w:rPr>
          <w:rFonts w:ascii="Times New Roman" w:hAnsi="Times New Roman"/>
          <w:b/>
          <w:bCs/>
          <w:color w:val="000000" w:themeColor="text1"/>
          <w:sz w:val="18"/>
          <w:szCs w:val="18"/>
        </w:rPr>
        <w:t xml:space="preserve">Fonte: </w:t>
      </w:r>
      <w:r>
        <w:rPr>
          <w:rFonts w:ascii="Times New Roman" w:hAnsi="Times New Roman"/>
          <w:b w:val="false"/>
          <w:bCs w:val="false"/>
          <w:color w:val="000000" w:themeColor="text1"/>
          <w:sz w:val="18"/>
          <w:szCs w:val="18"/>
        </w:rPr>
        <w:t>Elaboração dos autores, a partir de dados compilados da literatura etnobotânica.</w:t>
      </w:r>
    </w:p>
    <w:p>
      <w:pPr>
        <w:pStyle w:val="Normal"/>
        <w:spacing w:lineRule="auto" w:line="276" w:before="0" w:after="0"/>
        <w:ind w:hanging="0"/>
        <w:jc w:val="center"/>
        <w:rPr>
          <w:rFonts w:ascii="Times New Roman" w:hAnsi="Times New Roman"/>
          <w:b w:val="false"/>
          <w:bCs w:val="false"/>
          <w:color w:val="000000" w:themeColor="text1"/>
          <w:sz w:val="18"/>
          <w:szCs w:val="18"/>
        </w:rPr>
      </w:pPr>
      <w:r>
        <w:rPr>
          <w:rFonts w:ascii="Times New Roman" w:hAnsi="Times New Roman"/>
          <w:b w:val="false"/>
          <w:bCs w:val="false"/>
          <w:color w:val="000000" w:themeColor="text1"/>
          <w:sz w:val="18"/>
          <w:szCs w:val="18"/>
        </w:rPr>
      </w:r>
    </w:p>
    <w:p>
      <w:pPr>
        <w:pStyle w:val="Normal"/>
        <w:spacing w:lineRule="auto" w:line="276" w:before="0" w:after="0"/>
        <w:ind w:hanging="0"/>
        <w:jc w:val="both"/>
        <w:rPr/>
      </w:pPr>
      <w:r>
        <w:rPr>
          <w:rFonts w:ascii="Times New Roman" w:hAnsi="Times New Roman"/>
          <w:b w:val="false"/>
          <w:bCs w:val="false"/>
          <w:color w:val="000000" w:themeColor="text1"/>
          <w:sz w:val="24"/>
          <w:szCs w:val="24"/>
        </w:rPr>
        <w:tab/>
        <w:t xml:space="preserve">Preparações aquosas são tradicionalmente utilizadas para extrair metabólitos secundários como taninos, flavonoides e compostos fenólicos, substâncias frequentemente associadas a propriedades antioxidantes, anti-inflamatórias e antimicrobianas (RATES, 2001). A predominância dessas formas de preparo também reflete a acessibilidade e simplicidade dessas técnicas, que são amplamente difundidas em diferentes contextos culturais e sistemas tradicionais de saúde (ALBUQUERQUE et al., 2014). </w:t>
      </w:r>
    </w:p>
    <w:p>
      <w:pPr>
        <w:pStyle w:val="Normal"/>
        <w:spacing w:lineRule="auto" w:line="276" w:before="0" w:after="0"/>
        <w:ind w:hanging="0"/>
        <w:jc w:val="both"/>
        <w:rPr/>
      </w:pPr>
      <w:r>
        <w:rPr>
          <w:rFonts w:ascii="Times New Roman" w:hAnsi="Times New Roman"/>
          <w:b w:val="false"/>
          <w:bCs w:val="false"/>
          <w:color w:val="000000" w:themeColor="text1"/>
          <w:sz w:val="24"/>
          <w:szCs w:val="24"/>
        </w:rPr>
        <w:tab/>
        <w:t xml:space="preserve">A análise apresentada na </w:t>
      </w:r>
      <w:r>
        <w:rPr>
          <w:rStyle w:val="Strong"/>
          <w:rFonts w:ascii="Times New Roman" w:hAnsi="Times New Roman"/>
          <w:color w:val="000000" w:themeColor="text1"/>
          <w:sz w:val="24"/>
          <w:szCs w:val="24"/>
        </w:rPr>
        <w:t>Figura 5</w:t>
      </w:r>
      <w:r>
        <w:rPr>
          <w:rFonts w:ascii="Times New Roman" w:hAnsi="Times New Roman"/>
          <w:b w:val="false"/>
          <w:bCs w:val="false"/>
          <w:color w:val="000000" w:themeColor="text1"/>
          <w:sz w:val="24"/>
          <w:szCs w:val="24"/>
        </w:rPr>
        <w:t xml:space="preserve"> indica maior frequência de registros etnobotânicos associados a </w:t>
      </w:r>
      <w:r>
        <w:rPr>
          <w:rStyle w:val="Nfase"/>
          <w:rFonts w:ascii="Times New Roman" w:hAnsi="Times New Roman"/>
          <w:b w:val="false"/>
          <w:bCs w:val="false"/>
          <w:color w:val="000000" w:themeColor="text1"/>
          <w:sz w:val="24"/>
          <w:szCs w:val="24"/>
        </w:rPr>
        <w:t>M. urundeuva</w:t>
      </w:r>
      <w:r>
        <w:rPr>
          <w:rFonts w:ascii="Times New Roman" w:hAnsi="Times New Roman"/>
          <w:b w:val="false"/>
          <w:bCs w:val="false"/>
          <w:color w:val="000000" w:themeColor="text1"/>
          <w:sz w:val="24"/>
          <w:szCs w:val="24"/>
        </w:rPr>
        <w:t xml:space="preserve">, quando comparada às demais espécies analisadas. Esse resultado pode estar relacionado à ampla distribuição geográfica da espécie e à diversidade de usos terapêuticos atribuídos a ela na medicina tradicional brasileira. </w:t>
      </w:r>
    </w:p>
    <w:p>
      <w:pPr>
        <w:pStyle w:val="Normal"/>
        <w:spacing w:lineRule="auto" w:line="276" w:before="0" w:after="0"/>
        <w:ind w:hanging="0"/>
        <w:jc w:val="center"/>
        <w:rPr>
          <w:rFonts w:ascii="Times New Roman" w:hAnsi="Times New Roman"/>
          <w:b w:val="false"/>
          <w:bCs w:val="false"/>
          <w:color w:val="000000" w:themeColor="text1"/>
          <w:sz w:val="18"/>
          <w:szCs w:val="18"/>
        </w:rPr>
      </w:pPr>
      <w:r>
        <w:rPr>
          <w:rFonts w:ascii="Times New Roman" w:hAnsi="Times New Roman"/>
          <w:b w:val="false"/>
          <w:bCs w:val="false"/>
          <w:color w:val="000000" w:themeColor="text1"/>
          <w:sz w:val="18"/>
          <w:szCs w:val="18"/>
        </w:rPr>
      </w:r>
    </w:p>
    <w:p>
      <w:pPr>
        <w:pStyle w:val="Normal"/>
        <w:spacing w:lineRule="auto" w:line="276" w:before="0" w:after="0"/>
        <w:jc w:val="center"/>
        <w:rPr/>
      </w:pPr>
      <w:r>
        <w:rPr>
          <w:rFonts w:ascii="Times New Roman" w:hAnsi="Times New Roman"/>
          <w:b/>
          <w:bCs/>
          <w:color w:val="000000" w:themeColor="text1"/>
          <w:sz w:val="24"/>
          <w:szCs w:val="24"/>
        </w:rPr>
        <w:t>Figura 5 –</w:t>
      </w:r>
      <w:r>
        <w:rPr>
          <w:rFonts w:ascii="Times New Roman" w:hAnsi="Times New Roman"/>
          <w:b w:val="false"/>
          <w:bCs w:val="false"/>
          <w:color w:val="000000" w:themeColor="text1"/>
          <w:sz w:val="24"/>
          <w:szCs w:val="24"/>
        </w:rPr>
        <w:t xml:space="preserve"> Importância etnobotânica das espécies de aroeira do Cerrado.</w:t>
      </w:r>
    </w:p>
    <w:p>
      <w:pPr>
        <w:pStyle w:val="Normal"/>
        <w:spacing w:lineRule="auto" w:line="276" w:before="0" w:after="0"/>
        <w:ind w:hanging="0"/>
        <w:jc w:val="center"/>
        <w:rPr/>
      </w:pPr>
      <w: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2689225" cy="1583690"/>
            <wp:effectExtent l="0" t="0" r="0" b="0"/>
            <wp:wrapTopAndBottom/>
            <wp:docPr id="5"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6" descr=""/>
                    <pic:cNvPicPr>
                      <a:picLocks noChangeAspect="1" noChangeArrowheads="1"/>
                    </pic:cNvPicPr>
                  </pic:nvPicPr>
                  <pic:blipFill>
                    <a:blip r:embed="rId6"/>
                    <a:srcRect l="-211" t="-350" r="-211" b="-350"/>
                    <a:stretch>
                      <a:fillRect/>
                    </a:stretch>
                  </pic:blipFill>
                  <pic:spPr bwMode="auto">
                    <a:xfrm>
                      <a:off x="0" y="0"/>
                      <a:ext cx="2689225" cy="1583690"/>
                    </a:xfrm>
                    <a:prstGeom prst="rect">
                      <a:avLst/>
                    </a:prstGeom>
                    <a:ln>
                      <a:solidFill>
                        <a:srgbClr val="000000"/>
                      </a:solidFill>
                    </a:ln>
                  </pic:spPr>
                </pic:pic>
              </a:graphicData>
            </a:graphic>
          </wp:anchor>
        </w:drawing>
      </w:r>
      <w:r>
        <w:rPr>
          <w:rFonts w:ascii="Times New Roman" w:hAnsi="Times New Roman"/>
          <w:b/>
          <w:bCs/>
          <w:color w:val="000000" w:themeColor="text1"/>
          <w:sz w:val="18"/>
          <w:szCs w:val="18"/>
        </w:rPr>
        <w:t xml:space="preserve">Fonte: </w:t>
      </w:r>
      <w:r>
        <w:rPr>
          <w:rFonts w:ascii="Times New Roman" w:hAnsi="Times New Roman"/>
          <w:b w:val="false"/>
          <w:bCs w:val="false"/>
          <w:color w:val="000000" w:themeColor="text1"/>
          <w:sz w:val="18"/>
          <w:szCs w:val="18"/>
        </w:rPr>
        <w:t>Elaboração dos autores, a partir de dados compilados da literatura etnobotânica.</w:t>
      </w:r>
    </w:p>
    <w:p>
      <w:pPr>
        <w:pStyle w:val="Normal"/>
        <w:spacing w:lineRule="auto" w:line="276" w:before="0" w:after="0"/>
        <w:ind w:hanging="0"/>
        <w:jc w:val="center"/>
        <w:rPr>
          <w:rFonts w:ascii="Times New Roman" w:hAnsi="Times New Roman"/>
          <w:b w:val="false"/>
          <w:bCs w:val="false"/>
          <w:color w:val="000000" w:themeColor="text1"/>
          <w:sz w:val="18"/>
          <w:szCs w:val="18"/>
        </w:rPr>
      </w:pPr>
      <w:r>
        <w:rPr>
          <w:rFonts w:ascii="Times New Roman" w:hAnsi="Times New Roman"/>
          <w:b w:val="false"/>
          <w:bCs w:val="false"/>
          <w:color w:val="000000" w:themeColor="text1"/>
          <w:sz w:val="18"/>
          <w:szCs w:val="18"/>
        </w:rPr>
      </w:r>
    </w:p>
    <w:p>
      <w:pPr>
        <w:pStyle w:val="Normal"/>
        <w:spacing w:lineRule="auto" w:line="276" w:before="0" w:after="0"/>
        <w:ind w:hanging="0"/>
        <w:jc w:val="both"/>
        <w:rPr/>
      </w:pPr>
      <w:r>
        <w:rPr>
          <w:rFonts w:ascii="Times New Roman" w:hAnsi="Times New Roman"/>
          <w:b w:val="false"/>
          <w:bCs w:val="false"/>
          <w:color w:val="000000" w:themeColor="text1"/>
          <w:sz w:val="24"/>
          <w:szCs w:val="24"/>
        </w:rPr>
        <w:tab/>
        <w:t xml:space="preserve">Diversos estudos etnobotânicos apontam </w:t>
      </w:r>
      <w:r>
        <w:rPr>
          <w:rStyle w:val="Nfase"/>
          <w:rFonts w:ascii="Times New Roman" w:hAnsi="Times New Roman"/>
          <w:b w:val="false"/>
          <w:bCs w:val="false"/>
          <w:color w:val="000000" w:themeColor="text1"/>
          <w:sz w:val="24"/>
          <w:szCs w:val="24"/>
        </w:rPr>
        <w:t>M. urundeuva</w:t>
      </w:r>
      <w:r>
        <w:rPr>
          <w:rFonts w:ascii="Times New Roman" w:hAnsi="Times New Roman"/>
          <w:b w:val="false"/>
          <w:bCs w:val="false"/>
          <w:color w:val="000000" w:themeColor="text1"/>
          <w:sz w:val="24"/>
          <w:szCs w:val="24"/>
        </w:rPr>
        <w:t xml:space="preserve"> como uma das espécies medicinais mais importantes do Cerrado e do semiárido brasileiro, sendo amplamente utilizada no tratamento de inflamações, infecções e processos cicatriciais (CECÍLIO et al., 2012; BIESKI et al., 2012; RIBEIRO et al., 2017). A elevada frequência de uso também pode ser atribuída à presença de taninos condensados e flavonoides, compostos frequentemente associados a atividades anti-inflamatórias, antimicrobianas e cicatrizantes (SIMÕES et al., 2017). </w:t>
      </w:r>
    </w:p>
    <w:p>
      <w:pPr>
        <w:pStyle w:val="Normal"/>
        <w:spacing w:lineRule="auto" w:line="276" w:before="0" w:after="0"/>
        <w:ind w:hanging="0"/>
        <w:jc w:val="both"/>
        <w:rPr/>
      </w:pPr>
      <w:r>
        <w:rPr>
          <w:rFonts w:ascii="Times New Roman" w:hAnsi="Times New Roman"/>
          <w:sz w:val="24"/>
          <w:szCs w:val="24"/>
        </w:rPr>
        <w:tab/>
        <w:t>De modo geral, os resultados apresentados nas Figuras 2, 3, 4 e 5 reforçam a relevância etnobotânica das espécies de aroeira no contexto da medicina tradicional brasileira e evidenciam seu potencial para investigações fitoquímicas e farmacológicas futuras, especialmente no âmbito da bioprospecção de compostos bioativos de interesse terapêutico.</w:t>
      </w:r>
    </w:p>
    <w:p>
      <w:pPr>
        <w:pStyle w:val="Normal"/>
        <w:spacing w:lineRule="auto" w:line="276" w:before="0" w:after="0"/>
        <w:jc w:val="both"/>
        <w:rPr/>
      </w:pPr>
      <w:r>
        <w:rPr>
          <w:rFonts w:ascii="Times New Roman" w:hAnsi="Times New Roman"/>
          <w:b w:val="false"/>
          <w:bCs w:val="false"/>
          <w:color w:val="000000" w:themeColor="text1"/>
          <w:sz w:val="24"/>
          <w:szCs w:val="24"/>
        </w:rPr>
        <w:tab/>
        <w:t>A diversidade de usos terapêuticos registrados para as espécies de aroeira também encontra respaldo em estudos fitoquímicos e farmacológicos descritos na literatura</w:t>
      </w:r>
      <w:r>
        <w:rPr>
          <w:rFonts w:ascii="Times New Roman" w:hAnsi="Times New Roman"/>
          <w:b/>
          <w:bCs w:val="false"/>
          <w:color w:val="000000" w:themeColor="text1"/>
          <w:sz w:val="24"/>
          <w:szCs w:val="24"/>
        </w:rPr>
        <w:t xml:space="preserve"> </w:t>
      </w:r>
      <w:r>
        <w:rPr>
          <w:rFonts w:ascii="Times New Roman" w:hAnsi="Times New Roman"/>
          <w:b w:val="false"/>
          <w:bCs w:val="false"/>
          <w:color w:val="000000" w:themeColor="text1"/>
          <w:sz w:val="24"/>
          <w:szCs w:val="24"/>
        </w:rPr>
        <w:t xml:space="preserve">científica. </w:t>
        <w:tab/>
        <w:t xml:space="preserve">Diversos trabalhos têm demonstrado a presença de metabólitos secundários bioativos nessas espécies, incluindo taninos, flavonoides, terpenos e outros compostos fenólicos, frequentemente associados a atividades antioxidantes, anti-inflamatórias e antimicrobianas (SIMÕES et al., 2017; MACIEL et al., 2002) </w:t>
        <w:tab/>
      </w:r>
    </w:p>
    <w:p>
      <w:pPr>
        <w:pStyle w:val="Normal"/>
        <w:spacing w:lineRule="auto" w:line="276" w:before="0" w:after="0"/>
        <w:jc w:val="both"/>
        <w:rPr/>
      </w:pPr>
      <w:r>
        <w:rPr>
          <w:rFonts w:ascii="Times New Roman" w:hAnsi="Times New Roman"/>
          <w:b w:val="false"/>
          <w:bCs w:val="false"/>
          <w:color w:val="000000" w:themeColor="text1"/>
          <w:sz w:val="24"/>
          <w:szCs w:val="24"/>
        </w:rPr>
        <w:tab/>
        <w:t xml:space="preserve">Esses compostos são considerados importantes responsáveis pelos efeitos terapêuticos relatados na medicina tradicional. A síntese dos principais estudos experimentais envolvendo </w:t>
      </w:r>
      <w:r>
        <w:rPr>
          <w:rStyle w:val="Nfase"/>
          <w:rFonts w:ascii="Times New Roman" w:hAnsi="Times New Roman"/>
          <w:b w:val="false"/>
          <w:bCs w:val="false"/>
          <w:color w:val="000000" w:themeColor="text1"/>
          <w:sz w:val="24"/>
          <w:szCs w:val="24"/>
        </w:rPr>
        <w:t>A. fraxinifolium</w:t>
      </w:r>
      <w:r>
        <w:rPr>
          <w:rFonts w:ascii="Times New Roman" w:hAnsi="Times New Roman"/>
          <w:b w:val="false"/>
          <w:bCs w:val="false"/>
          <w:color w:val="000000" w:themeColor="text1"/>
          <w:sz w:val="24"/>
          <w:szCs w:val="24"/>
        </w:rPr>
        <w:t xml:space="preserve">, </w:t>
      </w:r>
      <w:r>
        <w:rPr>
          <w:rStyle w:val="Nfase"/>
          <w:rFonts w:ascii="Times New Roman" w:hAnsi="Times New Roman"/>
          <w:b w:val="false"/>
          <w:bCs w:val="false"/>
          <w:color w:val="000000" w:themeColor="text1"/>
          <w:sz w:val="24"/>
          <w:szCs w:val="24"/>
        </w:rPr>
        <w:t>M. urundeuva</w:t>
      </w:r>
      <w:r>
        <w:rPr>
          <w:rFonts w:ascii="Times New Roman" w:hAnsi="Times New Roman"/>
          <w:b w:val="false"/>
          <w:bCs w:val="false"/>
          <w:color w:val="000000" w:themeColor="text1"/>
          <w:sz w:val="24"/>
          <w:szCs w:val="24"/>
        </w:rPr>
        <w:t xml:space="preserve"> e </w:t>
      </w:r>
      <w:r>
        <w:rPr>
          <w:rStyle w:val="Nfase"/>
          <w:rFonts w:ascii="Times New Roman" w:hAnsi="Times New Roman"/>
          <w:b w:val="false"/>
          <w:bCs w:val="false"/>
          <w:color w:val="000000" w:themeColor="text1"/>
          <w:sz w:val="24"/>
          <w:szCs w:val="24"/>
        </w:rPr>
        <w:t>S. terebinthifolius</w:t>
      </w:r>
      <w:r>
        <w:rPr>
          <w:rFonts w:ascii="Times New Roman" w:hAnsi="Times New Roman"/>
          <w:b w:val="false"/>
          <w:bCs w:val="false"/>
          <w:color w:val="000000" w:themeColor="text1"/>
          <w:sz w:val="24"/>
          <w:szCs w:val="24"/>
        </w:rPr>
        <w:t xml:space="preserve">, incluindo partes vegetais analisadas, classes químicas predominantes, modelos experimentais utilizados e efeitos observados, encontra-se apresentada no </w:t>
      </w:r>
      <w:r>
        <w:rPr>
          <w:rStyle w:val="Strong"/>
          <w:rFonts w:ascii="Times New Roman" w:hAnsi="Times New Roman"/>
          <w:b w:val="false"/>
          <w:bCs w:val="false"/>
          <w:color w:val="000000" w:themeColor="text1"/>
          <w:sz w:val="24"/>
          <w:szCs w:val="24"/>
        </w:rPr>
        <w:t>Quadro 3.</w:t>
      </w:r>
    </w:p>
    <w:p>
      <w:pPr>
        <w:pStyle w:val="Normal"/>
        <w:spacing w:lineRule="auto" w:line="276" w:before="0" w:after="0"/>
        <w:jc w:val="both"/>
        <w:rPr>
          <w:rFonts w:ascii="Times New Roman" w:hAnsi="Times New Roman"/>
          <w:b/>
          <w:color w:val="000000" w:themeColor="text1"/>
          <w:sz w:val="24"/>
          <w:szCs w:val="24"/>
        </w:rPr>
      </w:pPr>
      <w:r>
        <w:rPr>
          <w:rFonts w:ascii="Times New Roman" w:hAnsi="Times New Roman"/>
          <w:b/>
          <w:color w:val="000000" w:themeColor="text1"/>
          <w:sz w:val="24"/>
          <w:szCs w:val="24"/>
        </w:rPr>
      </w:r>
    </w:p>
    <w:p>
      <w:pPr>
        <w:pStyle w:val="Ttulo1"/>
        <w:spacing w:lineRule="auto" w:line="276" w:before="0" w:after="0"/>
        <w:jc w:val="center"/>
        <w:rPr/>
      </w:pPr>
      <w:r>
        <w:rPr>
          <w:rFonts w:ascii="Times New Roman" w:hAnsi="Times New Roman"/>
          <w:b/>
          <w:bCs/>
          <w:color w:val="000000" w:themeColor="text1"/>
          <w:sz w:val="24"/>
          <w:szCs w:val="24"/>
        </w:rPr>
        <w:t xml:space="preserve">Quadro 3 - </w:t>
      </w:r>
      <w:r>
        <w:rPr>
          <w:rStyle w:val="Strong"/>
          <w:rFonts w:ascii="Times New Roman" w:hAnsi="Times New Roman"/>
          <w:b w:val="false"/>
          <w:bCs w:val="false"/>
          <w:color w:val="000000"/>
          <w:sz w:val="24"/>
          <w:szCs w:val="24"/>
        </w:rPr>
        <w:t>Estudos fitoquímicos e farmacológicos relatados para espécies de aroeiras.</w:t>
      </w:r>
    </w:p>
    <w:tbl>
      <w:tblPr>
        <w:tblW w:w="9125" w:type="dxa"/>
        <w:jc w:val="left"/>
        <w:tblInd w:w="46" w:type="dxa"/>
        <w:tblLayout w:type="fixed"/>
        <w:tblCellMar>
          <w:top w:w="28" w:type="dxa"/>
          <w:left w:w="28" w:type="dxa"/>
          <w:bottom w:w="28" w:type="dxa"/>
          <w:right w:w="28" w:type="dxa"/>
        </w:tblCellMar>
      </w:tblPr>
      <w:tblGrid>
        <w:gridCol w:w="1414"/>
        <w:gridCol w:w="1364"/>
        <w:gridCol w:w="1457"/>
        <w:gridCol w:w="1700"/>
        <w:gridCol w:w="1604"/>
        <w:gridCol w:w="1585"/>
      </w:tblGrid>
      <w:tr>
        <w:trPr>
          <w:tblHeader w:val="true"/>
        </w:trPr>
        <w:tc>
          <w:tcPr>
            <w:tcW w:w="1414" w:type="dxa"/>
            <w:tcBorders>
              <w:top w:val="single" w:sz="2" w:space="0" w:color="000000"/>
              <w:left w:val="single" w:sz="2" w:space="0" w:color="000000"/>
              <w:bottom w:val="single" w:sz="2" w:space="0" w:color="000000"/>
            </w:tcBorders>
            <w:vAlign w:val="center"/>
          </w:tcPr>
          <w:p>
            <w:pPr>
              <w:pStyle w:val="Ttulodetabela"/>
              <w:widowControl w:val="false"/>
              <w:spacing w:lineRule="auto" w:line="276" w:before="0" w:after="200"/>
              <w:rPr/>
            </w:pPr>
            <w:r>
              <w:rPr>
                <w:rFonts w:ascii="Times New Roman" w:hAnsi="Times New Roman"/>
                <w:sz w:val="20"/>
                <w:szCs w:val="20"/>
              </w:rPr>
              <w:t>Espécie</w:t>
            </w:r>
          </w:p>
        </w:tc>
        <w:tc>
          <w:tcPr>
            <w:tcW w:w="1364" w:type="dxa"/>
            <w:tcBorders>
              <w:top w:val="single" w:sz="2" w:space="0" w:color="000000"/>
              <w:left w:val="single" w:sz="2" w:space="0" w:color="000000"/>
              <w:bottom w:val="single" w:sz="2" w:space="0" w:color="000000"/>
            </w:tcBorders>
            <w:vAlign w:val="center"/>
          </w:tcPr>
          <w:p>
            <w:pPr>
              <w:pStyle w:val="Ttulodetabela"/>
              <w:widowControl w:val="false"/>
              <w:spacing w:lineRule="auto" w:line="276" w:before="0" w:after="200"/>
              <w:rPr/>
            </w:pPr>
            <w:r>
              <w:rPr>
                <w:rFonts w:ascii="Times New Roman" w:hAnsi="Times New Roman"/>
                <w:sz w:val="20"/>
                <w:szCs w:val="20"/>
              </w:rPr>
              <w:t>Parte / extrato</w:t>
            </w:r>
          </w:p>
        </w:tc>
        <w:tc>
          <w:tcPr>
            <w:tcW w:w="1457" w:type="dxa"/>
            <w:tcBorders>
              <w:top w:val="single" w:sz="2" w:space="0" w:color="000000"/>
              <w:left w:val="single" w:sz="2" w:space="0" w:color="000000"/>
              <w:bottom w:val="single" w:sz="2" w:space="0" w:color="000000"/>
            </w:tcBorders>
            <w:vAlign w:val="center"/>
          </w:tcPr>
          <w:p>
            <w:pPr>
              <w:pStyle w:val="Ttulodetabela"/>
              <w:widowControl w:val="false"/>
              <w:spacing w:lineRule="auto" w:line="276" w:before="0" w:after="200"/>
              <w:rPr/>
            </w:pPr>
            <w:r>
              <w:rPr>
                <w:rFonts w:ascii="Times New Roman" w:hAnsi="Times New Roman"/>
                <w:sz w:val="20"/>
                <w:szCs w:val="20"/>
              </w:rPr>
              <w:t>Classe química predominante</w:t>
            </w:r>
          </w:p>
        </w:tc>
        <w:tc>
          <w:tcPr>
            <w:tcW w:w="1700" w:type="dxa"/>
            <w:tcBorders>
              <w:top w:val="single" w:sz="2" w:space="0" w:color="000000"/>
              <w:left w:val="single" w:sz="2" w:space="0" w:color="000000"/>
              <w:bottom w:val="single" w:sz="2" w:space="0" w:color="000000"/>
            </w:tcBorders>
            <w:vAlign w:val="center"/>
          </w:tcPr>
          <w:p>
            <w:pPr>
              <w:pStyle w:val="Ttulodetabela"/>
              <w:widowControl w:val="false"/>
              <w:spacing w:lineRule="auto" w:line="276" w:before="0" w:after="200"/>
              <w:rPr/>
            </w:pPr>
            <w:r>
              <w:rPr>
                <w:rFonts w:ascii="Times New Roman" w:hAnsi="Times New Roman"/>
                <w:sz w:val="20"/>
                <w:szCs w:val="20"/>
              </w:rPr>
              <w:t>Modelo experimental</w:t>
            </w:r>
          </w:p>
        </w:tc>
        <w:tc>
          <w:tcPr>
            <w:tcW w:w="1604" w:type="dxa"/>
            <w:tcBorders>
              <w:top w:val="single" w:sz="2" w:space="0" w:color="000000"/>
              <w:left w:val="single" w:sz="2" w:space="0" w:color="000000"/>
              <w:bottom w:val="single" w:sz="2" w:space="0" w:color="000000"/>
            </w:tcBorders>
            <w:vAlign w:val="center"/>
          </w:tcPr>
          <w:p>
            <w:pPr>
              <w:pStyle w:val="Ttulodetabela"/>
              <w:widowControl w:val="false"/>
              <w:spacing w:lineRule="auto" w:line="276" w:before="0" w:after="200"/>
              <w:rPr/>
            </w:pPr>
            <w:r>
              <w:rPr>
                <w:rFonts w:ascii="Times New Roman" w:hAnsi="Times New Roman"/>
                <w:sz w:val="20"/>
                <w:szCs w:val="20"/>
              </w:rPr>
              <w:t>Efeito observado</w:t>
            </w:r>
          </w:p>
        </w:tc>
        <w:tc>
          <w:tcPr>
            <w:tcW w:w="1585" w:type="dxa"/>
            <w:tcBorders>
              <w:top w:val="single" w:sz="2" w:space="0" w:color="000000"/>
              <w:left w:val="single" w:sz="2" w:space="0" w:color="000000"/>
              <w:bottom w:val="single" w:sz="2" w:space="0" w:color="000000"/>
              <w:right w:val="single" w:sz="2" w:space="0" w:color="000000"/>
            </w:tcBorders>
            <w:vAlign w:val="center"/>
          </w:tcPr>
          <w:p>
            <w:pPr>
              <w:pStyle w:val="Ttulodetabela"/>
              <w:widowControl w:val="false"/>
              <w:spacing w:lineRule="auto" w:line="276" w:before="0" w:after="200"/>
              <w:rPr/>
            </w:pPr>
            <w:r>
              <w:rPr>
                <w:rFonts w:ascii="Times New Roman" w:hAnsi="Times New Roman"/>
                <w:sz w:val="20"/>
                <w:szCs w:val="20"/>
              </w:rPr>
              <w:t>Referência-base</w:t>
            </w:r>
          </w:p>
        </w:tc>
      </w:tr>
      <w:tr>
        <w:trPr/>
        <w:tc>
          <w:tcPr>
            <w:tcW w:w="1414" w:type="dxa"/>
            <w:tcBorders>
              <w:left w:val="single" w:sz="2" w:space="0" w:color="000000"/>
              <w:bottom w:val="single" w:sz="2" w:space="0" w:color="000000"/>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Astronium fraxinifolium</w:t>
            </w:r>
            <w:r>
              <w:rPr>
                <w:rFonts w:ascii="Times New Roman" w:hAnsi="Times New Roman"/>
                <w:sz w:val="20"/>
                <w:szCs w:val="20"/>
              </w:rPr>
              <w:t xml:space="preserve"> Schott</w:t>
            </w:r>
          </w:p>
        </w:tc>
        <w:tc>
          <w:tcPr>
            <w:tcW w:w="136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casca (extrato hidroalcoólico)</w:t>
            </w:r>
          </w:p>
        </w:tc>
        <w:tc>
          <w:tcPr>
            <w:tcW w:w="1457"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compostos fenólicos, flavonoides</w:t>
            </w:r>
          </w:p>
        </w:tc>
        <w:tc>
          <w:tcPr>
            <w:tcW w:w="1700"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 xml:space="preserve">ensaios antioxidantes </w:t>
            </w:r>
            <w:r>
              <w:rPr>
                <w:rFonts w:ascii="Times New Roman" w:hAnsi="Times New Roman"/>
                <w:i/>
                <w:iCs/>
                <w:sz w:val="20"/>
                <w:szCs w:val="20"/>
              </w:rPr>
              <w:t>in vitro</w:t>
            </w:r>
          </w:p>
        </w:tc>
        <w:tc>
          <w:tcPr>
            <w:tcW w:w="160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atividade antioxidante significativa</w:t>
            </w:r>
          </w:p>
        </w:tc>
        <w:tc>
          <w:tcPr>
            <w:tcW w:w="1585"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Pauli et al., 2018</w:t>
            </w:r>
          </w:p>
        </w:tc>
      </w:tr>
      <w:tr>
        <w:trPr/>
        <w:tc>
          <w:tcPr>
            <w:tcW w:w="1414" w:type="dxa"/>
            <w:tcBorders>
              <w:left w:val="single" w:sz="2" w:space="0" w:color="000000"/>
              <w:bottom w:val="single" w:sz="2" w:space="0" w:color="000000"/>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A. fraxinifolium</w:t>
            </w:r>
          </w:p>
        </w:tc>
        <w:tc>
          <w:tcPr>
            <w:tcW w:w="136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casca</w:t>
            </w:r>
          </w:p>
        </w:tc>
        <w:tc>
          <w:tcPr>
            <w:tcW w:w="1457"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taninos, flavonoides</w:t>
            </w:r>
          </w:p>
        </w:tc>
        <w:tc>
          <w:tcPr>
            <w:tcW w:w="1700"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ensaio antimicrobiano</w:t>
            </w:r>
            <w:r>
              <w:rPr>
                <w:rFonts w:ascii="Times New Roman" w:hAnsi="Times New Roman"/>
                <w:i/>
                <w:iCs/>
                <w:sz w:val="20"/>
                <w:szCs w:val="20"/>
              </w:rPr>
              <w:t xml:space="preserve"> in vitro</w:t>
            </w:r>
          </w:p>
        </w:tc>
        <w:tc>
          <w:tcPr>
            <w:tcW w:w="160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atividade antimicrobiana contra bactérias patogênicas</w:t>
            </w:r>
          </w:p>
        </w:tc>
        <w:tc>
          <w:tcPr>
            <w:tcW w:w="1585"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Braga et al., 2019</w:t>
            </w:r>
          </w:p>
        </w:tc>
      </w:tr>
      <w:tr>
        <w:trPr/>
        <w:tc>
          <w:tcPr>
            <w:tcW w:w="1414" w:type="dxa"/>
            <w:tcBorders>
              <w:left w:val="single" w:sz="2" w:space="0" w:color="000000"/>
              <w:bottom w:val="single" w:sz="2" w:space="0" w:color="000000"/>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M. urundeuva</w:t>
            </w:r>
            <w:r>
              <w:rPr>
                <w:rFonts w:ascii="Times New Roman" w:hAnsi="Times New Roman"/>
                <w:sz w:val="20"/>
                <w:szCs w:val="20"/>
              </w:rPr>
              <w:t xml:space="preserve"> </w:t>
            </w:r>
          </w:p>
        </w:tc>
        <w:tc>
          <w:tcPr>
            <w:tcW w:w="136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casca (extrato hidroalcoólico)</w:t>
            </w:r>
          </w:p>
        </w:tc>
        <w:tc>
          <w:tcPr>
            <w:tcW w:w="1457"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taninos condensados, flavonoides</w:t>
            </w:r>
          </w:p>
        </w:tc>
        <w:tc>
          <w:tcPr>
            <w:tcW w:w="1700"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modelo experimental antiinflamatório em animais</w:t>
            </w:r>
          </w:p>
        </w:tc>
        <w:tc>
          <w:tcPr>
            <w:tcW w:w="160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redução do processo inflamatório</w:t>
            </w:r>
          </w:p>
        </w:tc>
        <w:tc>
          <w:tcPr>
            <w:tcW w:w="1585"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Cecílio et al., 2012</w:t>
            </w:r>
          </w:p>
        </w:tc>
      </w:tr>
      <w:tr>
        <w:trPr/>
        <w:tc>
          <w:tcPr>
            <w:tcW w:w="1414" w:type="dxa"/>
            <w:tcBorders>
              <w:left w:val="single" w:sz="2" w:space="0" w:color="000000"/>
              <w:bottom w:val="single" w:sz="2" w:space="0" w:color="000000"/>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M. urundeuva</w:t>
            </w:r>
            <w:r>
              <w:rPr>
                <w:rFonts w:ascii="Times New Roman" w:hAnsi="Times New Roman"/>
                <w:sz w:val="20"/>
                <w:szCs w:val="20"/>
              </w:rPr>
              <w:t xml:space="preserve"> </w:t>
            </w:r>
          </w:p>
        </w:tc>
        <w:tc>
          <w:tcPr>
            <w:tcW w:w="136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casca</w:t>
            </w:r>
          </w:p>
        </w:tc>
        <w:tc>
          <w:tcPr>
            <w:tcW w:w="1457"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taninos, chalconas</w:t>
            </w:r>
          </w:p>
        </w:tc>
        <w:tc>
          <w:tcPr>
            <w:tcW w:w="1700"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modelo de cicatrização em animais</w:t>
            </w:r>
          </w:p>
        </w:tc>
        <w:tc>
          <w:tcPr>
            <w:tcW w:w="160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aceleração do processo de cicatrização</w:t>
            </w:r>
          </w:p>
        </w:tc>
        <w:tc>
          <w:tcPr>
            <w:tcW w:w="1585"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Bieski et al., 2012</w:t>
            </w:r>
          </w:p>
        </w:tc>
      </w:tr>
      <w:tr>
        <w:trPr/>
        <w:tc>
          <w:tcPr>
            <w:tcW w:w="1414" w:type="dxa"/>
            <w:tcBorders>
              <w:left w:val="single" w:sz="2" w:space="0" w:color="000000"/>
              <w:bottom w:val="single" w:sz="2" w:space="0" w:color="000000"/>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M. urundeuva</w:t>
            </w:r>
            <w:r>
              <w:rPr>
                <w:rFonts w:ascii="Times New Roman" w:hAnsi="Times New Roman"/>
                <w:sz w:val="20"/>
                <w:szCs w:val="20"/>
              </w:rPr>
              <w:t xml:space="preserve"> </w:t>
            </w:r>
          </w:p>
        </w:tc>
        <w:tc>
          <w:tcPr>
            <w:tcW w:w="136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casca</w:t>
            </w:r>
          </w:p>
        </w:tc>
        <w:tc>
          <w:tcPr>
            <w:tcW w:w="1457"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compostos fenólicos</w:t>
            </w:r>
          </w:p>
        </w:tc>
        <w:tc>
          <w:tcPr>
            <w:tcW w:w="1700"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ensaios antimicrobianos</w:t>
            </w:r>
          </w:p>
        </w:tc>
        <w:tc>
          <w:tcPr>
            <w:tcW w:w="160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atividade contra microrganismos patogênicos</w:t>
            </w:r>
          </w:p>
        </w:tc>
        <w:tc>
          <w:tcPr>
            <w:tcW w:w="1585"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Ribeiro et al., 2017</w:t>
            </w:r>
          </w:p>
        </w:tc>
      </w:tr>
      <w:tr>
        <w:trPr/>
        <w:tc>
          <w:tcPr>
            <w:tcW w:w="1414" w:type="dxa"/>
            <w:tcBorders>
              <w:left w:val="single" w:sz="2" w:space="0" w:color="000000"/>
              <w:bottom w:val="single" w:sz="2" w:space="0" w:color="000000"/>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S. terebinthifolius</w:t>
            </w:r>
            <w:r>
              <w:rPr>
                <w:rFonts w:ascii="Times New Roman" w:hAnsi="Times New Roman"/>
                <w:sz w:val="20"/>
                <w:szCs w:val="20"/>
              </w:rPr>
              <w:t xml:space="preserve"> </w:t>
            </w:r>
          </w:p>
        </w:tc>
        <w:tc>
          <w:tcPr>
            <w:tcW w:w="136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folhas (óleo essencial)</w:t>
            </w:r>
          </w:p>
        </w:tc>
        <w:tc>
          <w:tcPr>
            <w:tcW w:w="1457"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monoterpenos e sesquiterpenos</w:t>
            </w:r>
          </w:p>
        </w:tc>
        <w:tc>
          <w:tcPr>
            <w:tcW w:w="1700"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ensaios antimicrobianos in vitro</w:t>
            </w:r>
          </w:p>
        </w:tc>
        <w:tc>
          <w:tcPr>
            <w:tcW w:w="160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atividade antibacteriana e antifúngica</w:t>
            </w:r>
          </w:p>
        </w:tc>
        <w:tc>
          <w:tcPr>
            <w:tcW w:w="1585"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Nascimento &amp; Morais, 2017</w:t>
            </w:r>
          </w:p>
        </w:tc>
      </w:tr>
      <w:tr>
        <w:trPr/>
        <w:tc>
          <w:tcPr>
            <w:tcW w:w="1414" w:type="dxa"/>
            <w:tcBorders>
              <w:left w:val="single" w:sz="2" w:space="0" w:color="000000"/>
              <w:bottom w:val="single" w:sz="2" w:space="0" w:color="000000"/>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S. terebinthifolius</w:t>
            </w:r>
            <w:r>
              <w:rPr>
                <w:rFonts w:ascii="Times New Roman" w:hAnsi="Times New Roman"/>
                <w:sz w:val="20"/>
                <w:szCs w:val="20"/>
              </w:rPr>
              <w:t xml:space="preserve"> </w:t>
            </w:r>
          </w:p>
        </w:tc>
        <w:tc>
          <w:tcPr>
            <w:tcW w:w="136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frutos</w:t>
            </w:r>
          </w:p>
        </w:tc>
        <w:tc>
          <w:tcPr>
            <w:tcW w:w="1457"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terpenos e compostos fenólicos</w:t>
            </w:r>
          </w:p>
        </w:tc>
        <w:tc>
          <w:tcPr>
            <w:tcW w:w="1700"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ensaios anti-inflamatórios</w:t>
            </w:r>
          </w:p>
        </w:tc>
        <w:tc>
          <w:tcPr>
            <w:tcW w:w="160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atividade anti-inflamatória</w:t>
            </w:r>
          </w:p>
        </w:tc>
        <w:tc>
          <w:tcPr>
            <w:tcW w:w="1585"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Gomes; Bandeira, 2012</w:t>
            </w:r>
          </w:p>
        </w:tc>
      </w:tr>
      <w:tr>
        <w:trPr/>
        <w:tc>
          <w:tcPr>
            <w:tcW w:w="1414" w:type="dxa"/>
            <w:tcBorders>
              <w:left w:val="single" w:sz="2" w:space="0" w:color="000000"/>
              <w:bottom w:val="single" w:sz="2" w:space="0" w:color="000000"/>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S. terebinthifolius</w:t>
            </w:r>
            <w:r>
              <w:rPr>
                <w:rFonts w:ascii="Times New Roman" w:hAnsi="Times New Roman"/>
                <w:sz w:val="20"/>
                <w:szCs w:val="20"/>
              </w:rPr>
              <w:t xml:space="preserve"> </w:t>
            </w:r>
          </w:p>
        </w:tc>
        <w:tc>
          <w:tcPr>
            <w:tcW w:w="136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folhas (extrato metanólico)</w:t>
            </w:r>
          </w:p>
        </w:tc>
        <w:tc>
          <w:tcPr>
            <w:tcW w:w="1457"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flavonoides, ácidos fenólicos</w:t>
            </w:r>
          </w:p>
        </w:tc>
        <w:tc>
          <w:tcPr>
            <w:tcW w:w="1700"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ensaio antioxidante</w:t>
            </w:r>
          </w:p>
        </w:tc>
        <w:tc>
          <w:tcPr>
            <w:tcW w:w="1604" w:type="dxa"/>
            <w:tcBorders>
              <w:left w:val="single" w:sz="2" w:space="0" w:color="000000"/>
              <w:bottom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atividade antioxidante significativa</w:t>
            </w:r>
          </w:p>
        </w:tc>
        <w:tc>
          <w:tcPr>
            <w:tcW w:w="1585" w:type="dxa"/>
            <w:tcBorders>
              <w:left w:val="single" w:sz="2" w:space="0" w:color="000000"/>
              <w:bottom w:val="single" w:sz="2" w:space="0" w:color="000000"/>
              <w:right w:val="single" w:sz="2" w:space="0" w:color="000000"/>
            </w:tcBorders>
            <w:vAlign w:val="center"/>
          </w:tcPr>
          <w:p>
            <w:pPr>
              <w:pStyle w:val="Contedodatabela"/>
              <w:widowControl w:val="false"/>
              <w:spacing w:lineRule="auto" w:line="276" w:before="0" w:after="200"/>
              <w:rPr/>
            </w:pPr>
            <w:r>
              <w:rPr>
                <w:rFonts w:ascii="Times New Roman" w:hAnsi="Times New Roman"/>
                <w:sz w:val="20"/>
                <w:szCs w:val="20"/>
              </w:rPr>
              <w:t>Bezerra et al., 2022</w:t>
            </w:r>
          </w:p>
        </w:tc>
      </w:tr>
    </w:tbl>
    <w:p>
      <w:pPr>
        <w:pStyle w:val="Normal"/>
        <w:spacing w:lineRule="auto" w:line="276" w:before="0" w:after="0"/>
        <w:ind w:hanging="0"/>
        <w:jc w:val="center"/>
        <w:rPr/>
      </w:pPr>
      <w:r>
        <w:rPr>
          <w:rFonts w:ascii="Times New Roman" w:hAnsi="Times New Roman"/>
          <w:b/>
          <w:bCs/>
          <w:color w:val="000000" w:themeColor="text1"/>
          <w:sz w:val="18"/>
          <w:szCs w:val="18"/>
        </w:rPr>
        <w:t xml:space="preserve">Fonte: </w:t>
      </w:r>
      <w:r>
        <w:rPr>
          <w:rFonts w:ascii="Times New Roman" w:hAnsi="Times New Roman"/>
          <w:b w:val="false"/>
          <w:bCs w:val="false"/>
          <w:color w:val="000000" w:themeColor="text1"/>
          <w:sz w:val="18"/>
          <w:szCs w:val="18"/>
        </w:rPr>
        <w:t>Elaboração dos autores, a partir de dados compilados da literatura etnobotânica.</w:t>
      </w:r>
    </w:p>
    <w:p>
      <w:pPr>
        <w:pStyle w:val="Normal"/>
        <w:spacing w:lineRule="auto" w:line="276" w:before="0" w:after="0"/>
        <w:jc w:val="both"/>
        <w:rPr>
          <w:rFonts w:ascii="Times New Roman" w:hAnsi="Times New Roman"/>
          <w:b w:val="false"/>
          <w:bCs w:val="false"/>
          <w:sz w:val="18"/>
          <w:szCs w:val="18"/>
        </w:rPr>
      </w:pPr>
      <w:r>
        <w:rPr>
          <w:rFonts w:ascii="Times New Roman" w:hAnsi="Times New Roman"/>
          <w:b w:val="false"/>
          <w:bCs w:val="false"/>
          <w:sz w:val="18"/>
          <w:szCs w:val="18"/>
        </w:rPr>
      </w:r>
    </w:p>
    <w:p>
      <w:pPr>
        <w:pStyle w:val="Corpodotexto"/>
        <w:spacing w:lineRule="auto" w:line="276" w:before="0" w:after="0"/>
        <w:jc w:val="both"/>
        <w:rPr/>
      </w:pPr>
      <w:r>
        <w:rPr>
          <w:rFonts w:ascii="Times New Roman" w:hAnsi="Times New Roman"/>
          <w:b w:val="false"/>
          <w:bCs w:val="false"/>
          <w:color w:val="000000" w:themeColor="text1"/>
          <w:sz w:val="24"/>
          <w:szCs w:val="24"/>
        </w:rPr>
        <w:tab/>
        <w:t>A análise dos estudos fitoquímicos e farmacológicos disponíveis na literatura evidencia a presença de diversas classes de metabólitos secundários bioativos nas espécies de aroeira analisadas, especialmente flavonoides, taninos, terpenos e compostos fenólicos. Esses metabólitos são amplamente reconhecidos por suas propriedades antioxidantes, anti-inflamatórias e antimicrobianas, o que contribui para explicar a ampla utilização dessas espécies na medicina tradicional (SIMÕES et al., 2017).</w:t>
      </w:r>
    </w:p>
    <w:p>
      <w:pPr>
        <w:pStyle w:val="Corpodotexto"/>
        <w:spacing w:lineRule="auto" w:line="276" w:before="0" w:after="0"/>
        <w:jc w:val="both"/>
        <w:rPr/>
      </w:pPr>
      <w:r>
        <w:rPr>
          <w:rFonts w:ascii="Times New Roman" w:hAnsi="Times New Roman"/>
          <w:sz w:val="24"/>
          <w:szCs w:val="24"/>
        </w:rPr>
        <w:tab/>
        <w:t xml:space="preserve">Entre as espécies analisadas, </w:t>
      </w:r>
      <w:r>
        <w:rPr>
          <w:rStyle w:val="Nfase"/>
          <w:rFonts w:ascii="Times New Roman" w:hAnsi="Times New Roman"/>
          <w:sz w:val="24"/>
          <w:szCs w:val="24"/>
        </w:rPr>
        <w:t>M. urundeuva</w:t>
      </w:r>
      <w:r>
        <w:rPr>
          <w:rFonts w:ascii="Times New Roman" w:hAnsi="Times New Roman"/>
          <w:sz w:val="24"/>
          <w:szCs w:val="24"/>
        </w:rPr>
        <w:t xml:space="preserve"> apresenta um número expressivo de estudos farmacológicos, especialmente relacionados à atividade anti-inflamatória e cicatrizante. A presença de taninos condensados e flavonoides na casca da espécie tem sido associada à modulação de processos inflamatórios e à aceleração da regeneração tecidual, corroborando seu uso tradicional no tratamento de feridas e inflamações.</w:t>
      </w:r>
    </w:p>
    <w:p>
      <w:pPr>
        <w:pStyle w:val="Corpodotexto"/>
        <w:spacing w:lineRule="auto" w:line="276" w:before="0" w:after="0"/>
        <w:jc w:val="both"/>
        <w:rPr/>
      </w:pPr>
      <w:r>
        <w:rPr>
          <w:rFonts w:ascii="Times New Roman" w:hAnsi="Times New Roman"/>
          <w:sz w:val="24"/>
          <w:szCs w:val="24"/>
        </w:rPr>
        <w:tab/>
        <w:t xml:space="preserve">No caso de </w:t>
      </w:r>
      <w:r>
        <w:rPr>
          <w:rStyle w:val="Nfase"/>
          <w:rFonts w:ascii="Times New Roman" w:hAnsi="Times New Roman"/>
          <w:sz w:val="24"/>
          <w:szCs w:val="24"/>
        </w:rPr>
        <w:t>S. terebinthifolius</w:t>
      </w:r>
      <w:r>
        <w:rPr>
          <w:rFonts w:ascii="Times New Roman" w:hAnsi="Times New Roman"/>
          <w:sz w:val="24"/>
          <w:szCs w:val="24"/>
        </w:rPr>
        <w:t>, estudos fitoquímicos indicam a presença de óleos essenciais ricos em monoterpenos e sesquiterpenos, compostos frequentemente associados a propriedades antimicrobianas e anti-inflamatórias. Esses resultados ajudam a explicar o uso tradicional da espécie no tratamento de infecções, inflamações e processos cicatriciais.</w:t>
      </w:r>
    </w:p>
    <w:p>
      <w:pPr>
        <w:pStyle w:val="Corpodotexto"/>
        <w:spacing w:lineRule="auto" w:line="276" w:before="0" w:after="0"/>
        <w:jc w:val="both"/>
        <w:rPr/>
      </w:pPr>
      <w:r>
        <w:rPr>
          <w:rFonts w:ascii="Times New Roman" w:hAnsi="Times New Roman"/>
          <w:sz w:val="24"/>
          <w:szCs w:val="24"/>
        </w:rPr>
        <w:tab/>
        <w:t xml:space="preserve">Já </w:t>
      </w:r>
      <w:r>
        <w:rPr>
          <w:rStyle w:val="Nfase"/>
          <w:rFonts w:ascii="Times New Roman" w:hAnsi="Times New Roman"/>
          <w:sz w:val="24"/>
          <w:szCs w:val="24"/>
        </w:rPr>
        <w:t>A. fraxinifolium</w:t>
      </w:r>
      <w:r>
        <w:rPr>
          <w:rFonts w:ascii="Times New Roman" w:hAnsi="Times New Roman"/>
          <w:sz w:val="24"/>
          <w:szCs w:val="24"/>
        </w:rPr>
        <w:t xml:space="preserve"> apresenta compostos fenólicos e flavonoides com atividade antioxidante e antimicrobiana relatadas em estudos experimentais, sugerindo potencial farmacológico relevante e indicando a necessidade de investigações adicionais sobre seus metabólitos bioativos.</w:t>
      </w:r>
    </w:p>
    <w:p>
      <w:pPr>
        <w:pStyle w:val="Corpodotexto"/>
        <w:spacing w:lineRule="auto" w:line="276" w:before="0" w:after="0"/>
        <w:jc w:val="both"/>
        <w:rPr/>
      </w:pPr>
      <w:r>
        <w:rPr>
          <w:rFonts w:ascii="Times New Roman" w:hAnsi="Times New Roman"/>
          <w:sz w:val="24"/>
          <w:szCs w:val="24"/>
        </w:rPr>
        <w:tab/>
        <w:t>De maneira geral, observa-se convergência entre os dados etnobotânicos e as evidências farmacológicas disponíveis na literatura, reforçando o potencial das espécies de aroeira como fontes promissoras para o desenvolvimento de fitoterápicos e novos agentes terapêuticos.</w:t>
      </w:r>
    </w:p>
    <w:p>
      <w:pPr>
        <w:pStyle w:val="Normal"/>
        <w:spacing w:lineRule="auto" w:line="276" w:before="0" w:after="0"/>
        <w:jc w:val="both"/>
        <w:rPr/>
      </w:pPr>
      <w:r>
        <w:rPr>
          <w:rFonts w:ascii="Times New Roman" w:hAnsi="Times New Roman"/>
          <w:sz w:val="24"/>
          <w:szCs w:val="24"/>
        </w:rPr>
        <w:tab/>
        <w:t xml:space="preserve">Além dos estudos fitoquímicos apresentados anteriormente, diversos trabalhos experimentais têm investigado as atividades farmacológicas das espécies de aroeira. Esses estudos demonstram que os metabólitos secundários presentes nessas plantas estão associados a diferentes propriedades biológicas, especialmente atividades anti-inflamatórias, antimicrobianas e antioxidantes. A comparação das principais atividades farmacológicas descritas para </w:t>
      </w:r>
      <w:r>
        <w:rPr>
          <w:rStyle w:val="Nfase"/>
          <w:rFonts w:ascii="Times New Roman" w:hAnsi="Times New Roman"/>
          <w:sz w:val="24"/>
          <w:szCs w:val="24"/>
        </w:rPr>
        <w:t>A. fraxinifolium</w:t>
      </w:r>
      <w:r>
        <w:rPr>
          <w:rFonts w:ascii="Times New Roman" w:hAnsi="Times New Roman"/>
          <w:sz w:val="24"/>
          <w:szCs w:val="24"/>
        </w:rPr>
        <w:t xml:space="preserve">, </w:t>
      </w:r>
      <w:r>
        <w:rPr>
          <w:rStyle w:val="Nfase"/>
          <w:rFonts w:ascii="Times New Roman" w:hAnsi="Times New Roman"/>
          <w:sz w:val="24"/>
          <w:szCs w:val="24"/>
        </w:rPr>
        <w:t>M. urundeuva</w:t>
      </w:r>
      <w:r>
        <w:rPr>
          <w:rFonts w:ascii="Times New Roman" w:hAnsi="Times New Roman"/>
          <w:sz w:val="24"/>
          <w:szCs w:val="24"/>
        </w:rPr>
        <w:t xml:space="preserve"> e </w:t>
      </w:r>
      <w:r>
        <w:rPr>
          <w:rStyle w:val="Nfase"/>
          <w:rFonts w:ascii="Times New Roman" w:hAnsi="Times New Roman"/>
          <w:sz w:val="24"/>
          <w:szCs w:val="24"/>
        </w:rPr>
        <w:t>S. terebinthifolius</w:t>
      </w:r>
      <w:r>
        <w:rPr>
          <w:rFonts w:ascii="Times New Roman" w:hAnsi="Times New Roman"/>
          <w:sz w:val="24"/>
          <w:szCs w:val="24"/>
        </w:rPr>
        <w:t xml:space="preserve"> encontra-se sintetizada no </w:t>
      </w:r>
      <w:r>
        <w:rPr>
          <w:rStyle w:val="Strong"/>
          <w:rFonts w:ascii="Times New Roman" w:hAnsi="Times New Roman"/>
          <w:b w:val="false"/>
          <w:bCs w:val="false"/>
          <w:sz w:val="24"/>
          <w:szCs w:val="24"/>
        </w:rPr>
        <w:t>Quadro 4</w:t>
      </w:r>
      <w:r>
        <w:rPr>
          <w:rFonts w:ascii="Times New Roman" w:hAnsi="Times New Roman"/>
          <w:b w:val="false"/>
          <w:bCs w:val="false"/>
          <w:sz w:val="24"/>
          <w:szCs w:val="24"/>
        </w:rPr>
        <w:t xml:space="preserve">. </w:t>
      </w:r>
    </w:p>
    <w:p>
      <w:pPr>
        <w:pStyle w:val="Normal"/>
        <w:spacing w:lineRule="auto" w:line="276" w:before="0" w:after="0"/>
        <w:jc w:val="both"/>
        <w:rPr>
          <w:rFonts w:ascii="Times New Roman" w:hAnsi="Times New Roman"/>
          <w:b w:val="false"/>
          <w:bCs w:val="false"/>
          <w:sz w:val="24"/>
          <w:szCs w:val="24"/>
        </w:rPr>
      </w:pPr>
      <w:r>
        <w:rPr>
          <w:rFonts w:ascii="Times New Roman" w:hAnsi="Times New Roman"/>
          <w:b w:val="false"/>
          <w:bCs w:val="false"/>
          <w:sz w:val="24"/>
          <w:szCs w:val="24"/>
        </w:rPr>
      </w:r>
    </w:p>
    <w:p>
      <w:pPr>
        <w:pStyle w:val="Ttulo1"/>
        <w:spacing w:lineRule="auto" w:line="276" w:before="0" w:after="0"/>
        <w:jc w:val="center"/>
        <w:rPr/>
      </w:pPr>
      <w:r>
        <w:rPr>
          <w:rFonts w:ascii="Times New Roman" w:hAnsi="Times New Roman"/>
          <w:b/>
          <w:bCs/>
          <w:color w:val="000000" w:themeColor="text1"/>
          <w:sz w:val="24"/>
          <w:szCs w:val="24"/>
        </w:rPr>
        <w:t>Quadro 4 -</w:t>
      </w:r>
      <w:r>
        <w:rPr>
          <w:rFonts w:ascii="Times New Roman" w:hAnsi="Times New Roman"/>
          <w:b w:val="false"/>
          <w:bCs w:val="false"/>
          <w:color w:val="000000" w:themeColor="text1"/>
          <w:sz w:val="24"/>
          <w:szCs w:val="24"/>
        </w:rPr>
        <w:t xml:space="preserve"> </w:t>
      </w:r>
      <w:r>
        <w:rPr>
          <w:rStyle w:val="Strong"/>
          <w:rFonts w:ascii="Times New Roman" w:hAnsi="Times New Roman"/>
          <w:b w:val="false"/>
          <w:bCs w:val="false"/>
          <w:color w:val="000000"/>
          <w:sz w:val="24"/>
          <w:szCs w:val="24"/>
        </w:rPr>
        <w:t>Comparação das atividades farmacológicas descritas para espécies de aroeiras.</w:t>
      </w:r>
    </w:p>
    <w:tbl>
      <w:tblPr>
        <w:tblW w:w="8871" w:type="dxa"/>
        <w:jc w:val="left"/>
        <w:tblInd w:w="0" w:type="dxa"/>
        <w:tblLayout w:type="fixed"/>
        <w:tblCellMar>
          <w:top w:w="28" w:type="dxa"/>
          <w:left w:w="28" w:type="dxa"/>
          <w:bottom w:w="28" w:type="dxa"/>
          <w:right w:w="28" w:type="dxa"/>
        </w:tblCellMar>
      </w:tblPr>
      <w:tblGrid>
        <w:gridCol w:w="1304"/>
        <w:gridCol w:w="1217"/>
        <w:gridCol w:w="1422"/>
        <w:gridCol w:w="1127"/>
        <w:gridCol w:w="1166"/>
        <w:gridCol w:w="1277"/>
        <w:gridCol w:w="1357"/>
      </w:tblGrid>
      <w:tr>
        <w:trPr>
          <w:tblHeader w:val="true"/>
        </w:trPr>
        <w:tc>
          <w:tcPr>
            <w:tcW w:w="1304" w:type="dxa"/>
            <w:tcBorders/>
            <w:vAlign w:val="center"/>
          </w:tcPr>
          <w:p>
            <w:pPr>
              <w:pStyle w:val="Ttulodetabela"/>
              <w:widowControl w:val="false"/>
              <w:spacing w:lineRule="auto" w:line="276" w:before="0" w:after="200"/>
              <w:jc w:val="center"/>
              <w:rPr/>
            </w:pPr>
            <w:r>
              <w:rPr>
                <w:rFonts w:ascii="Times New Roman" w:hAnsi="Times New Roman"/>
                <w:sz w:val="20"/>
                <w:szCs w:val="20"/>
              </w:rPr>
              <w:t>Espécie</w:t>
            </w:r>
          </w:p>
        </w:tc>
        <w:tc>
          <w:tcPr>
            <w:tcW w:w="1217" w:type="dxa"/>
            <w:tcBorders/>
            <w:vAlign w:val="center"/>
          </w:tcPr>
          <w:p>
            <w:pPr>
              <w:pStyle w:val="Ttulodetabela"/>
              <w:widowControl w:val="false"/>
              <w:spacing w:lineRule="auto" w:line="276" w:before="0" w:after="200"/>
              <w:jc w:val="center"/>
              <w:rPr/>
            </w:pPr>
            <w:r>
              <w:rPr>
                <w:rFonts w:ascii="Times New Roman" w:hAnsi="Times New Roman"/>
                <w:sz w:val="20"/>
                <w:szCs w:val="20"/>
              </w:rPr>
              <w:t>Atividade anti-inflamatória</w:t>
            </w:r>
          </w:p>
        </w:tc>
        <w:tc>
          <w:tcPr>
            <w:tcW w:w="1422" w:type="dxa"/>
            <w:tcBorders/>
            <w:vAlign w:val="center"/>
          </w:tcPr>
          <w:p>
            <w:pPr>
              <w:pStyle w:val="Ttulodetabela"/>
              <w:widowControl w:val="false"/>
              <w:spacing w:lineRule="auto" w:line="276" w:before="0" w:after="200"/>
              <w:jc w:val="center"/>
              <w:rPr/>
            </w:pPr>
            <w:r>
              <w:rPr>
                <w:rFonts w:ascii="Times New Roman" w:hAnsi="Times New Roman"/>
                <w:sz w:val="20"/>
                <w:szCs w:val="20"/>
              </w:rPr>
              <w:t>Atividade antimicrobiana</w:t>
            </w:r>
          </w:p>
        </w:tc>
        <w:tc>
          <w:tcPr>
            <w:tcW w:w="1127" w:type="dxa"/>
            <w:tcBorders/>
            <w:vAlign w:val="center"/>
          </w:tcPr>
          <w:p>
            <w:pPr>
              <w:pStyle w:val="Ttulodetabela"/>
              <w:widowControl w:val="false"/>
              <w:spacing w:lineRule="auto" w:line="276" w:before="0" w:after="200"/>
              <w:jc w:val="center"/>
              <w:rPr/>
            </w:pPr>
            <w:r>
              <w:rPr>
                <w:rFonts w:ascii="Times New Roman" w:hAnsi="Times New Roman"/>
                <w:sz w:val="20"/>
                <w:szCs w:val="20"/>
              </w:rPr>
              <w:t>Atividade antioxidante</w:t>
            </w:r>
          </w:p>
        </w:tc>
        <w:tc>
          <w:tcPr>
            <w:tcW w:w="1166" w:type="dxa"/>
            <w:tcBorders/>
            <w:vAlign w:val="center"/>
          </w:tcPr>
          <w:p>
            <w:pPr>
              <w:pStyle w:val="Ttulodetabela"/>
              <w:widowControl w:val="false"/>
              <w:spacing w:lineRule="auto" w:line="276" w:before="0" w:after="200"/>
              <w:jc w:val="center"/>
              <w:rPr/>
            </w:pPr>
            <w:r>
              <w:rPr>
                <w:rFonts w:ascii="Times New Roman" w:hAnsi="Times New Roman"/>
                <w:sz w:val="20"/>
                <w:szCs w:val="20"/>
              </w:rPr>
              <w:t>Atividade cicatrizante</w:t>
            </w:r>
          </w:p>
        </w:tc>
        <w:tc>
          <w:tcPr>
            <w:tcW w:w="1277" w:type="dxa"/>
            <w:tcBorders/>
            <w:vAlign w:val="center"/>
          </w:tcPr>
          <w:p>
            <w:pPr>
              <w:pStyle w:val="Ttulodetabela"/>
              <w:widowControl w:val="false"/>
              <w:spacing w:lineRule="auto" w:line="276" w:before="0" w:after="200"/>
              <w:jc w:val="center"/>
              <w:rPr/>
            </w:pPr>
            <w:r>
              <w:rPr>
                <w:rFonts w:ascii="Times New Roman" w:hAnsi="Times New Roman"/>
                <w:sz w:val="20"/>
                <w:szCs w:val="20"/>
              </w:rPr>
              <w:t>Outras atividades relatadas</w:t>
            </w:r>
          </w:p>
        </w:tc>
        <w:tc>
          <w:tcPr>
            <w:tcW w:w="1357" w:type="dxa"/>
            <w:tcBorders/>
            <w:vAlign w:val="center"/>
          </w:tcPr>
          <w:p>
            <w:pPr>
              <w:pStyle w:val="Ttulodetabela"/>
              <w:widowControl w:val="false"/>
              <w:spacing w:lineRule="auto" w:line="276" w:before="0" w:after="200"/>
              <w:jc w:val="center"/>
              <w:rPr/>
            </w:pPr>
            <w:r>
              <w:rPr>
                <w:rFonts w:ascii="Times New Roman" w:hAnsi="Times New Roman"/>
                <w:sz w:val="20"/>
                <w:szCs w:val="20"/>
              </w:rPr>
              <w:t>Referências</w:t>
            </w:r>
          </w:p>
        </w:tc>
      </w:tr>
      <w:tr>
        <w:trPr/>
        <w:tc>
          <w:tcPr>
            <w:tcW w:w="1304" w:type="dxa"/>
            <w:tcBorders/>
            <w:vAlign w:val="center"/>
          </w:tcPr>
          <w:p>
            <w:pPr>
              <w:pStyle w:val="Contedodatabela"/>
              <w:widowControl w:val="false"/>
              <w:spacing w:lineRule="auto" w:line="276" w:before="0" w:after="200"/>
              <w:jc w:val="center"/>
              <w:rPr/>
            </w:pPr>
            <w:r>
              <w:rPr>
                <w:rStyle w:val="Nfase"/>
                <w:rFonts w:ascii="Times New Roman" w:hAnsi="Times New Roman"/>
                <w:sz w:val="20"/>
                <w:szCs w:val="20"/>
              </w:rPr>
              <w:t>A. fraxinifolium</w:t>
            </w:r>
            <w:r>
              <w:rPr>
                <w:rFonts w:ascii="Times New Roman" w:hAnsi="Times New Roman"/>
                <w:sz w:val="20"/>
                <w:szCs w:val="20"/>
              </w:rPr>
              <w:t xml:space="preserve"> </w:t>
            </w:r>
          </w:p>
        </w:tc>
        <w:tc>
          <w:tcPr>
            <w:tcW w:w="1217"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422"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127"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166"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277" w:type="dxa"/>
            <w:tcBorders/>
            <w:vAlign w:val="center"/>
          </w:tcPr>
          <w:p>
            <w:pPr>
              <w:pStyle w:val="Contedodatabela"/>
              <w:widowControl w:val="false"/>
              <w:spacing w:lineRule="auto" w:line="276" w:before="0" w:after="200"/>
              <w:jc w:val="left"/>
              <w:rPr/>
            </w:pPr>
            <w:r>
              <w:rPr>
                <w:rFonts w:ascii="Times New Roman" w:hAnsi="Times New Roman"/>
                <w:sz w:val="20"/>
                <w:szCs w:val="20"/>
              </w:rPr>
              <w:t>atividade analgésica  antimicrobiana</w:t>
            </w:r>
          </w:p>
        </w:tc>
        <w:tc>
          <w:tcPr>
            <w:tcW w:w="1357" w:type="dxa"/>
            <w:tcBorders/>
            <w:vAlign w:val="center"/>
          </w:tcPr>
          <w:p>
            <w:pPr>
              <w:pStyle w:val="Contedodatabela"/>
              <w:widowControl w:val="false"/>
              <w:spacing w:lineRule="auto" w:line="276" w:before="0" w:after="200"/>
              <w:rPr/>
            </w:pPr>
            <w:r>
              <w:rPr>
                <w:rFonts w:ascii="Times New Roman" w:hAnsi="Times New Roman"/>
                <w:sz w:val="20"/>
                <w:szCs w:val="20"/>
              </w:rPr>
              <w:t>Pauli et al., 2018; Braga et al., 2019</w:t>
            </w:r>
          </w:p>
        </w:tc>
      </w:tr>
      <w:tr>
        <w:trPr/>
        <w:tc>
          <w:tcPr>
            <w:tcW w:w="1304" w:type="dxa"/>
            <w:tcBorders/>
            <w:vAlign w:val="center"/>
          </w:tcPr>
          <w:p>
            <w:pPr>
              <w:pStyle w:val="Contedodatabela"/>
              <w:widowControl w:val="false"/>
              <w:spacing w:lineRule="auto" w:line="276" w:before="0" w:after="200"/>
              <w:jc w:val="center"/>
              <w:rPr/>
            </w:pPr>
            <w:r>
              <w:rPr>
                <w:rStyle w:val="Nfase"/>
                <w:rFonts w:ascii="Times New Roman" w:hAnsi="Times New Roman"/>
                <w:sz w:val="20"/>
                <w:szCs w:val="20"/>
              </w:rPr>
              <w:t>M. urundeuva</w:t>
            </w:r>
            <w:r>
              <w:rPr>
                <w:rFonts w:ascii="Times New Roman" w:hAnsi="Times New Roman"/>
                <w:sz w:val="20"/>
                <w:szCs w:val="20"/>
              </w:rPr>
              <w:t xml:space="preserve"> </w:t>
            </w:r>
          </w:p>
        </w:tc>
        <w:tc>
          <w:tcPr>
            <w:tcW w:w="1217"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422"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127"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166"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277" w:type="dxa"/>
            <w:tcBorders/>
            <w:vAlign w:val="center"/>
          </w:tcPr>
          <w:p>
            <w:pPr>
              <w:pStyle w:val="Contedodatabela"/>
              <w:widowControl w:val="false"/>
              <w:spacing w:lineRule="auto" w:line="276" w:before="0" w:after="200"/>
              <w:jc w:val="left"/>
              <w:rPr/>
            </w:pPr>
            <w:r>
              <w:rPr>
                <w:rFonts w:ascii="Times New Roman" w:hAnsi="Times New Roman"/>
                <w:sz w:val="20"/>
                <w:szCs w:val="20"/>
              </w:rPr>
              <w:t>gastroprotetora  antiulcerogêni-ca</w:t>
            </w:r>
          </w:p>
        </w:tc>
        <w:tc>
          <w:tcPr>
            <w:tcW w:w="1357" w:type="dxa"/>
            <w:tcBorders/>
            <w:vAlign w:val="center"/>
          </w:tcPr>
          <w:p>
            <w:pPr>
              <w:pStyle w:val="Contedodatabela"/>
              <w:widowControl w:val="false"/>
              <w:spacing w:lineRule="auto" w:line="276" w:before="0" w:after="200"/>
              <w:rPr/>
            </w:pPr>
            <w:r>
              <w:rPr>
                <w:rFonts w:ascii="Times New Roman" w:hAnsi="Times New Roman"/>
                <w:sz w:val="20"/>
                <w:szCs w:val="20"/>
              </w:rPr>
              <w:t>Cecílio et al., 2012; Bieski et al., 2012; Ribeiro et al., 2017</w:t>
            </w:r>
          </w:p>
        </w:tc>
      </w:tr>
      <w:tr>
        <w:trPr/>
        <w:tc>
          <w:tcPr>
            <w:tcW w:w="1304" w:type="dxa"/>
            <w:tcBorders/>
            <w:vAlign w:val="center"/>
          </w:tcPr>
          <w:p>
            <w:pPr>
              <w:pStyle w:val="Contedodatabela"/>
              <w:widowControl w:val="false"/>
              <w:spacing w:lineRule="auto" w:line="276" w:before="0" w:after="200"/>
              <w:jc w:val="center"/>
              <w:rPr/>
            </w:pPr>
            <w:r>
              <w:rPr>
                <w:rStyle w:val="Nfase"/>
                <w:rFonts w:ascii="Times New Roman" w:hAnsi="Times New Roman"/>
                <w:sz w:val="20"/>
                <w:szCs w:val="20"/>
              </w:rPr>
              <w:t>S. terebinthifolius</w:t>
            </w:r>
            <w:r>
              <w:rPr>
                <w:rFonts w:ascii="Times New Roman" w:hAnsi="Times New Roman"/>
                <w:sz w:val="20"/>
                <w:szCs w:val="20"/>
              </w:rPr>
              <w:t xml:space="preserve"> </w:t>
            </w:r>
          </w:p>
        </w:tc>
        <w:tc>
          <w:tcPr>
            <w:tcW w:w="1217"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422"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127"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166" w:type="dxa"/>
            <w:tcBorders/>
            <w:vAlign w:val="center"/>
          </w:tcPr>
          <w:p>
            <w:pPr>
              <w:pStyle w:val="Contedodatabela"/>
              <w:widowControl w:val="false"/>
              <w:spacing w:lineRule="auto" w:line="276" w:before="0" w:after="200"/>
              <w:jc w:val="center"/>
              <w:rPr/>
            </w:pPr>
            <w:r>
              <w:rPr>
                <w:rFonts w:ascii="Times New Roman" w:hAnsi="Times New Roman"/>
                <w:sz w:val="20"/>
                <w:szCs w:val="20"/>
              </w:rPr>
              <w:t>✓</w:t>
            </w:r>
          </w:p>
        </w:tc>
        <w:tc>
          <w:tcPr>
            <w:tcW w:w="1277" w:type="dxa"/>
            <w:tcBorders/>
            <w:vAlign w:val="center"/>
          </w:tcPr>
          <w:p>
            <w:pPr>
              <w:pStyle w:val="Contedodatabela"/>
              <w:widowControl w:val="false"/>
              <w:spacing w:lineRule="auto" w:line="276" w:before="0" w:after="200"/>
              <w:jc w:val="left"/>
              <w:rPr/>
            </w:pPr>
            <w:r>
              <w:rPr>
                <w:rFonts w:ascii="Times New Roman" w:hAnsi="Times New Roman"/>
                <w:sz w:val="20"/>
                <w:szCs w:val="20"/>
              </w:rPr>
              <w:t>antifúngica  antiparasitária</w:t>
            </w:r>
          </w:p>
        </w:tc>
        <w:tc>
          <w:tcPr>
            <w:tcW w:w="1357" w:type="dxa"/>
            <w:tcBorders/>
            <w:vAlign w:val="center"/>
          </w:tcPr>
          <w:p>
            <w:pPr>
              <w:pStyle w:val="Contedodatabela"/>
              <w:widowControl w:val="false"/>
              <w:spacing w:lineRule="auto" w:line="276" w:before="0" w:after="200"/>
              <w:rPr/>
            </w:pPr>
            <w:r>
              <w:rPr>
                <w:rFonts w:ascii="Times New Roman" w:hAnsi="Times New Roman"/>
                <w:sz w:val="20"/>
                <w:szCs w:val="20"/>
              </w:rPr>
              <w:t>Nascimento; Morais, 2017; Gomes; Bandeira, 2012; Bezerra et al., 2022</w:t>
            </w:r>
          </w:p>
        </w:tc>
      </w:tr>
    </w:tbl>
    <w:p>
      <w:pPr>
        <w:pStyle w:val="Normal"/>
        <w:spacing w:lineRule="auto" w:line="276" w:before="0" w:after="0"/>
        <w:ind w:hanging="0"/>
        <w:jc w:val="center"/>
        <w:rPr/>
      </w:pPr>
      <w:r>
        <w:rPr>
          <w:rFonts w:ascii="Times New Roman" w:hAnsi="Times New Roman"/>
          <w:b/>
          <w:bCs/>
          <w:color w:val="000000" w:themeColor="text1"/>
          <w:sz w:val="18"/>
          <w:szCs w:val="18"/>
        </w:rPr>
        <w:t xml:space="preserve">Fonte: </w:t>
      </w:r>
      <w:r>
        <w:rPr>
          <w:rFonts w:ascii="Times New Roman" w:hAnsi="Times New Roman"/>
          <w:b w:val="false"/>
          <w:bCs w:val="false"/>
          <w:color w:val="000000" w:themeColor="text1"/>
          <w:sz w:val="18"/>
          <w:szCs w:val="18"/>
        </w:rPr>
        <w:t>Elaboração dos autores, a partir de dados compilados da literatura etnobotânica.</w:t>
      </w:r>
    </w:p>
    <w:p>
      <w:pPr>
        <w:pStyle w:val="Normal"/>
        <w:spacing w:lineRule="auto" w:line="276" w:before="0" w:after="0"/>
        <w:jc w:val="both"/>
        <w:rPr>
          <w:rFonts w:ascii="Times New Roman" w:hAnsi="Times New Roman"/>
          <w:b/>
          <w:color w:val="000000" w:themeColor="text1"/>
          <w:sz w:val="24"/>
          <w:szCs w:val="24"/>
        </w:rPr>
      </w:pPr>
      <w:r>
        <w:rPr>
          <w:rFonts w:ascii="Times New Roman" w:hAnsi="Times New Roman"/>
          <w:b/>
          <w:color w:val="000000" w:themeColor="text1"/>
          <w:sz w:val="24"/>
          <w:szCs w:val="24"/>
        </w:rPr>
      </w:r>
    </w:p>
    <w:p>
      <w:pPr>
        <w:pStyle w:val="Normal"/>
        <w:spacing w:lineRule="auto" w:line="276" w:before="0" w:after="0"/>
        <w:jc w:val="both"/>
        <w:rPr/>
      </w:pPr>
      <w:r>
        <w:rPr>
          <w:rFonts w:ascii="Times New Roman" w:hAnsi="Times New Roman"/>
          <w:b w:val="false"/>
          <w:bCs w:val="false"/>
          <w:color w:val="000000" w:themeColor="text1"/>
          <w:sz w:val="24"/>
          <w:szCs w:val="24"/>
        </w:rPr>
        <w:tab/>
        <w:t xml:space="preserve">Os dados apresentados no Quadro 4 evidenciam que as três espécies analisadas compartilham diversas atividades farmacológicas, especialmente propriedades anti-inflamatórias e antimicrobianas, o que reforça a consistência entre os usos tradicionais e os resultados obtidos em estudos experimentais. Entre as espécies analisadas, </w:t>
      </w:r>
      <w:r>
        <w:rPr>
          <w:rStyle w:val="Nfase"/>
          <w:rFonts w:ascii="Times New Roman" w:hAnsi="Times New Roman"/>
          <w:b w:val="false"/>
          <w:bCs w:val="false"/>
          <w:color w:val="000000" w:themeColor="text1"/>
          <w:sz w:val="24"/>
          <w:szCs w:val="24"/>
        </w:rPr>
        <w:t>M. urundeuva</w:t>
      </w:r>
      <w:r>
        <w:rPr>
          <w:rFonts w:ascii="Times New Roman" w:hAnsi="Times New Roman"/>
          <w:b w:val="false"/>
          <w:bCs w:val="false"/>
          <w:color w:val="000000" w:themeColor="text1"/>
          <w:sz w:val="24"/>
          <w:szCs w:val="24"/>
        </w:rPr>
        <w:t xml:space="preserve"> apresenta maior diversidade de atividades farmacológicas descritas na literatura, incluindo propriedades cicatrizantes e gastroprotetoras. Esse padrão pode estar associado à elevada concentração de taninos e flavonoides presentes na espécie, compostos amplamente reconhecidos por suas propriedades biológicas. </w:t>
      </w:r>
    </w:p>
    <w:p>
      <w:pPr>
        <w:pStyle w:val="Corpodotexto"/>
        <w:spacing w:lineRule="auto" w:line="276" w:before="0" w:after="0"/>
        <w:jc w:val="both"/>
        <w:rPr/>
      </w:pPr>
      <w:r>
        <w:rPr>
          <w:rFonts w:ascii="Times New Roman" w:hAnsi="Times New Roman"/>
          <w:b/>
          <w:color w:val="000000" w:themeColor="text1"/>
          <w:sz w:val="24"/>
          <w:szCs w:val="24"/>
        </w:rPr>
        <w:tab/>
      </w:r>
      <w:r>
        <w:rPr>
          <w:rFonts w:ascii="Times New Roman" w:hAnsi="Times New Roman"/>
          <w:b w:val="false"/>
          <w:bCs w:val="false"/>
          <w:sz w:val="24"/>
          <w:szCs w:val="24"/>
        </w:rPr>
        <w:t xml:space="preserve">A predominância do uso de </w:t>
      </w:r>
      <w:r>
        <w:rPr>
          <w:rStyle w:val="Strong"/>
          <w:rFonts w:ascii="Times New Roman" w:hAnsi="Times New Roman"/>
          <w:b w:val="false"/>
          <w:bCs w:val="false"/>
          <w:sz w:val="24"/>
          <w:szCs w:val="24"/>
        </w:rPr>
        <w:t>casca e entrecasca</w:t>
      </w:r>
      <w:r>
        <w:rPr>
          <w:rFonts w:ascii="Times New Roman" w:hAnsi="Times New Roman"/>
          <w:b w:val="false"/>
          <w:bCs w:val="false"/>
          <w:sz w:val="24"/>
          <w:szCs w:val="24"/>
        </w:rPr>
        <w:t xml:space="preserve"> nas espécies de aroeira reflete a elevada concentração de </w:t>
      </w:r>
      <w:r>
        <w:rPr>
          <w:rStyle w:val="Strong"/>
          <w:rFonts w:ascii="Times New Roman" w:hAnsi="Times New Roman"/>
          <w:b w:val="false"/>
          <w:bCs w:val="false"/>
          <w:sz w:val="24"/>
          <w:szCs w:val="24"/>
        </w:rPr>
        <w:t>taninos e outros metabólitos fenólicos</w:t>
      </w:r>
      <w:r>
        <w:rPr>
          <w:rFonts w:ascii="Times New Roman" w:hAnsi="Times New Roman"/>
          <w:b w:val="false"/>
          <w:bCs w:val="false"/>
          <w:sz w:val="24"/>
          <w:szCs w:val="24"/>
        </w:rPr>
        <w:t xml:space="preserve"> nessas estruturas vegetais. Esses compostos estão frequentemente associados a propriedades </w:t>
      </w:r>
      <w:r>
        <w:rPr>
          <w:rStyle w:val="Strong"/>
          <w:rFonts w:ascii="Times New Roman" w:hAnsi="Times New Roman"/>
          <w:b w:val="false"/>
          <w:bCs w:val="false"/>
          <w:sz w:val="24"/>
          <w:szCs w:val="24"/>
        </w:rPr>
        <w:t>anti-inflamatórias, cicatrizantes e antimicrobianas</w:t>
      </w:r>
      <w:r>
        <w:rPr>
          <w:rFonts w:ascii="Times New Roman" w:hAnsi="Times New Roman"/>
          <w:b w:val="false"/>
          <w:bCs w:val="false"/>
          <w:sz w:val="24"/>
          <w:szCs w:val="24"/>
        </w:rPr>
        <w:t xml:space="preserve">, o que explica sua ampla utilização na medicina tradicional. Entretanto, a coleta intensiva dessas partes pode causar </w:t>
      </w:r>
      <w:r>
        <w:rPr>
          <w:rStyle w:val="Strong"/>
          <w:rFonts w:ascii="Times New Roman" w:hAnsi="Times New Roman"/>
          <w:b w:val="false"/>
          <w:bCs w:val="false"/>
          <w:sz w:val="24"/>
          <w:szCs w:val="24"/>
        </w:rPr>
        <w:t>impactos ecológicos relevantes</w:t>
      </w:r>
      <w:r>
        <w:rPr>
          <w:rFonts w:ascii="Times New Roman" w:hAnsi="Times New Roman"/>
          <w:b w:val="false"/>
          <w:bCs w:val="false"/>
          <w:sz w:val="24"/>
          <w:szCs w:val="24"/>
        </w:rPr>
        <w:t>, uma vez que a remoção da casca pode comprometer o transporte de seiva e levar à morte da planta. Esse aspecto reforça a necessidade de práticas de manejo sustentável (KLINK; MACHADO, 2005; RIBEIRO; WALTER, 2008).</w:t>
      </w:r>
    </w:p>
    <w:p>
      <w:pPr>
        <w:pStyle w:val="Corpodotexto"/>
        <w:spacing w:lineRule="auto" w:line="276" w:before="0" w:after="0"/>
        <w:jc w:val="both"/>
        <w:rPr/>
      </w:pPr>
      <w:r>
        <w:rPr>
          <w:rFonts w:ascii="Times New Roman" w:hAnsi="Times New Roman"/>
          <w:sz w:val="24"/>
          <w:szCs w:val="24"/>
        </w:rPr>
        <w:tab/>
        <w:t xml:space="preserve">A diversidade de indicações terapêuticas atribuídas às espécies de aroeira reflete a ampla incorporação dessas plantas nos sistemas tradicionais de medicina popular. Os registros etnobotânicos compilados na literatura evidenciam que essas espécies são utilizadas no tratamento de diferentes condições de saúde, especialmente processos inflamatórios, infecções e doenças respiratórias. A síntese das principais categorias de usos terapêuticos associados às espécies analisadas encontra-se apresentada no </w:t>
      </w:r>
      <w:r>
        <w:rPr>
          <w:rStyle w:val="Strong"/>
          <w:rFonts w:ascii="Times New Roman" w:hAnsi="Times New Roman"/>
          <w:b w:val="false"/>
          <w:bCs w:val="false"/>
          <w:sz w:val="24"/>
          <w:szCs w:val="24"/>
        </w:rPr>
        <w:t>Quadro 5</w:t>
      </w:r>
      <w:r>
        <w:rPr>
          <w:rFonts w:ascii="Times New Roman" w:hAnsi="Times New Roman"/>
          <w:b w:val="false"/>
          <w:bCs w:val="false"/>
          <w:sz w:val="24"/>
          <w:szCs w:val="24"/>
        </w:rPr>
        <w:t xml:space="preserve">. </w:t>
      </w:r>
    </w:p>
    <w:p>
      <w:pPr>
        <w:pStyle w:val="Corpodotexto"/>
        <w:spacing w:lineRule="auto" w:line="276" w:before="0" w:after="0"/>
        <w:jc w:val="both"/>
        <w:rPr>
          <w:rFonts w:ascii="Times New Roman" w:hAnsi="Times New Roman"/>
          <w:b w:val="false"/>
          <w:bCs w:val="false"/>
          <w:sz w:val="24"/>
          <w:szCs w:val="24"/>
        </w:rPr>
      </w:pPr>
      <w:r>
        <w:rPr>
          <w:rFonts w:ascii="Times New Roman" w:hAnsi="Times New Roman"/>
          <w:b w:val="false"/>
          <w:bCs w:val="false"/>
          <w:sz w:val="24"/>
          <w:szCs w:val="24"/>
        </w:rPr>
      </w:r>
    </w:p>
    <w:p>
      <w:pPr>
        <w:pStyle w:val="Corpodotexto"/>
        <w:spacing w:lineRule="auto" w:line="276" w:before="0" w:after="0"/>
        <w:jc w:val="center"/>
        <w:rPr/>
      </w:pPr>
      <w:r>
        <w:rPr>
          <w:rFonts w:ascii="Times New Roman" w:hAnsi="Times New Roman"/>
          <w:b/>
          <w:bCs/>
          <w:sz w:val="24"/>
          <w:szCs w:val="24"/>
        </w:rPr>
        <w:t xml:space="preserve">Quadro 5 - </w:t>
      </w:r>
      <w:r>
        <w:rPr>
          <w:rFonts w:ascii="Times New Roman" w:hAnsi="Times New Roman"/>
          <w:sz w:val="24"/>
          <w:szCs w:val="24"/>
        </w:rPr>
        <w:t>Principais categorias de uso terapêutico das aroeiras</w:t>
      </w:r>
      <w:r>
        <w:rPr/>
        <w:t xml:space="preserve"> </w:t>
      </w:r>
    </w:p>
    <w:tbl>
      <w:tblPr>
        <w:tblW w:w="9070" w:type="dxa"/>
        <w:jc w:val="left"/>
        <w:tblInd w:w="0" w:type="dxa"/>
        <w:tblLayout w:type="fixed"/>
        <w:tblCellMar>
          <w:top w:w="28" w:type="dxa"/>
          <w:left w:w="28" w:type="dxa"/>
          <w:bottom w:w="28" w:type="dxa"/>
          <w:right w:w="28" w:type="dxa"/>
        </w:tblCellMar>
      </w:tblPr>
      <w:tblGrid>
        <w:gridCol w:w="1837"/>
        <w:gridCol w:w="2412"/>
        <w:gridCol w:w="2870"/>
        <w:gridCol w:w="1950"/>
      </w:tblGrid>
      <w:tr>
        <w:trPr>
          <w:tblHeader w:val="true"/>
        </w:trPr>
        <w:tc>
          <w:tcPr>
            <w:tcW w:w="1837" w:type="dxa"/>
            <w:tcBorders/>
            <w:vAlign w:val="center"/>
          </w:tcPr>
          <w:p>
            <w:pPr>
              <w:pStyle w:val="Ttulodetabela"/>
              <w:widowControl w:val="false"/>
              <w:spacing w:lineRule="auto" w:line="276" w:before="0" w:after="200"/>
              <w:rPr/>
            </w:pPr>
            <w:r>
              <w:rPr>
                <w:rFonts w:ascii="Times New Roman" w:hAnsi="Times New Roman"/>
                <w:sz w:val="20"/>
                <w:szCs w:val="20"/>
              </w:rPr>
              <w:t>Categoria terapêutica</w:t>
            </w:r>
          </w:p>
        </w:tc>
        <w:tc>
          <w:tcPr>
            <w:tcW w:w="2412" w:type="dxa"/>
            <w:tcBorders/>
            <w:vAlign w:val="center"/>
          </w:tcPr>
          <w:p>
            <w:pPr>
              <w:pStyle w:val="Ttulodetabela"/>
              <w:widowControl w:val="false"/>
              <w:spacing w:lineRule="auto" w:line="276" w:before="0" w:after="200"/>
              <w:rPr/>
            </w:pPr>
            <w:r>
              <w:rPr>
                <w:rFonts w:ascii="Times New Roman" w:hAnsi="Times New Roman"/>
                <w:sz w:val="20"/>
                <w:szCs w:val="20"/>
              </w:rPr>
              <w:t>Principais indicações registradas</w:t>
            </w:r>
          </w:p>
        </w:tc>
        <w:tc>
          <w:tcPr>
            <w:tcW w:w="2870" w:type="dxa"/>
            <w:tcBorders/>
            <w:vAlign w:val="center"/>
          </w:tcPr>
          <w:p>
            <w:pPr>
              <w:pStyle w:val="Ttulodetabela"/>
              <w:widowControl w:val="false"/>
              <w:spacing w:lineRule="auto" w:line="276" w:before="0" w:after="200"/>
              <w:rPr/>
            </w:pPr>
            <w:r>
              <w:rPr>
                <w:rFonts w:ascii="Times New Roman" w:hAnsi="Times New Roman"/>
                <w:sz w:val="20"/>
                <w:szCs w:val="20"/>
              </w:rPr>
              <w:t>Espécies associadas</w:t>
            </w:r>
          </w:p>
        </w:tc>
        <w:tc>
          <w:tcPr>
            <w:tcW w:w="1950" w:type="dxa"/>
            <w:tcBorders/>
            <w:vAlign w:val="center"/>
          </w:tcPr>
          <w:p>
            <w:pPr>
              <w:pStyle w:val="Ttulodetabela"/>
              <w:widowControl w:val="false"/>
              <w:spacing w:lineRule="auto" w:line="276" w:before="0" w:after="200"/>
              <w:rPr/>
            </w:pPr>
            <w:r>
              <w:rPr>
                <w:rFonts w:ascii="Times New Roman" w:hAnsi="Times New Roman"/>
                <w:sz w:val="20"/>
                <w:szCs w:val="20"/>
              </w:rPr>
              <w:t>Referências</w:t>
            </w:r>
          </w:p>
        </w:tc>
      </w:tr>
      <w:tr>
        <w:trPr/>
        <w:tc>
          <w:tcPr>
            <w:tcW w:w="1837" w:type="dxa"/>
            <w:tcBorders/>
            <w:vAlign w:val="center"/>
          </w:tcPr>
          <w:p>
            <w:pPr>
              <w:pStyle w:val="Contedodatabela"/>
              <w:widowControl w:val="false"/>
              <w:spacing w:lineRule="auto" w:line="276" w:before="0" w:after="200"/>
              <w:rPr/>
            </w:pPr>
            <w:r>
              <w:rPr>
                <w:rFonts w:ascii="Times New Roman" w:hAnsi="Times New Roman"/>
                <w:sz w:val="20"/>
                <w:szCs w:val="20"/>
              </w:rPr>
              <w:t>Processos inflamatórios</w:t>
            </w:r>
          </w:p>
        </w:tc>
        <w:tc>
          <w:tcPr>
            <w:tcW w:w="2412" w:type="dxa"/>
            <w:tcBorders/>
            <w:vAlign w:val="center"/>
          </w:tcPr>
          <w:p>
            <w:pPr>
              <w:pStyle w:val="Contedodatabela"/>
              <w:widowControl w:val="false"/>
              <w:spacing w:lineRule="auto" w:line="276" w:before="0" w:after="86"/>
              <w:rPr/>
            </w:pPr>
            <w:r>
              <w:rPr>
                <w:rFonts w:ascii="Times New Roman" w:hAnsi="Times New Roman"/>
                <w:sz w:val="20"/>
                <w:szCs w:val="20"/>
              </w:rPr>
              <w:t>inflamações em geral, inflamação uterina, inflamações cutâneas</w:t>
            </w:r>
          </w:p>
        </w:tc>
        <w:tc>
          <w:tcPr>
            <w:tcW w:w="2870" w:type="dxa"/>
            <w:tcBorders/>
            <w:vAlign w:val="center"/>
          </w:tcPr>
          <w:p>
            <w:pPr>
              <w:pStyle w:val="Contedodatabela"/>
              <w:widowControl w:val="false"/>
              <w:spacing w:lineRule="auto" w:line="276" w:before="0" w:after="0"/>
              <w:rPr/>
            </w:pPr>
            <w:r>
              <w:rPr>
                <w:rStyle w:val="Nfase"/>
                <w:rFonts w:ascii="Times New Roman" w:hAnsi="Times New Roman"/>
                <w:sz w:val="20"/>
                <w:szCs w:val="20"/>
              </w:rPr>
              <w:t>A. fraxinifolium</w:t>
            </w:r>
          </w:p>
          <w:p>
            <w:pPr>
              <w:pStyle w:val="Contedodatabela"/>
              <w:widowControl w:val="false"/>
              <w:spacing w:lineRule="auto" w:line="276" w:before="0" w:after="0"/>
              <w:rPr/>
            </w:pPr>
            <w:r>
              <w:rPr>
                <w:rStyle w:val="Nfase"/>
                <w:rFonts w:ascii="Times New Roman" w:hAnsi="Times New Roman"/>
                <w:sz w:val="20"/>
                <w:szCs w:val="20"/>
              </w:rPr>
              <w:t>M. urundeuva</w:t>
            </w:r>
            <w:r>
              <w:rPr>
                <w:rFonts w:ascii="Times New Roman" w:hAnsi="Times New Roman"/>
                <w:sz w:val="20"/>
                <w:szCs w:val="20"/>
              </w:rPr>
              <w:t xml:space="preserve"> </w:t>
            </w:r>
          </w:p>
          <w:p>
            <w:pPr>
              <w:pStyle w:val="Contedodatabela"/>
              <w:widowControl w:val="false"/>
              <w:spacing w:lineRule="auto" w:line="276" w:before="0" w:after="0"/>
              <w:rPr/>
            </w:pPr>
            <w:r>
              <w:rPr>
                <w:rStyle w:val="Nfase"/>
                <w:rFonts w:ascii="Times New Roman" w:hAnsi="Times New Roman"/>
                <w:sz w:val="20"/>
                <w:szCs w:val="20"/>
              </w:rPr>
              <w:t>S. terebinthifolius</w:t>
            </w:r>
          </w:p>
        </w:tc>
        <w:tc>
          <w:tcPr>
            <w:tcW w:w="1950" w:type="dxa"/>
            <w:tcBorders/>
            <w:vAlign w:val="center"/>
          </w:tcPr>
          <w:p>
            <w:pPr>
              <w:pStyle w:val="Contedodatabela"/>
              <w:widowControl w:val="false"/>
              <w:spacing w:lineRule="auto" w:line="276" w:before="0" w:after="200"/>
              <w:rPr/>
            </w:pPr>
            <w:r>
              <w:rPr>
                <w:rFonts w:ascii="Times New Roman" w:hAnsi="Times New Roman"/>
                <w:sz w:val="20"/>
                <w:szCs w:val="20"/>
              </w:rPr>
              <w:t>Cecílio et al., 2012; Ribeiro et al., 2017</w:t>
            </w:r>
          </w:p>
        </w:tc>
      </w:tr>
      <w:tr>
        <w:trPr/>
        <w:tc>
          <w:tcPr>
            <w:tcW w:w="1837" w:type="dxa"/>
            <w:tcBorders/>
            <w:vAlign w:val="center"/>
          </w:tcPr>
          <w:p>
            <w:pPr>
              <w:pStyle w:val="Contedodatabela"/>
              <w:widowControl w:val="false"/>
              <w:spacing w:lineRule="auto" w:line="276" w:before="0" w:after="200"/>
              <w:rPr/>
            </w:pPr>
            <w:r>
              <w:rPr>
                <w:rFonts w:ascii="Times New Roman" w:hAnsi="Times New Roman"/>
                <w:sz w:val="20"/>
                <w:szCs w:val="20"/>
              </w:rPr>
              <w:t>Infecções</w:t>
            </w:r>
          </w:p>
        </w:tc>
        <w:tc>
          <w:tcPr>
            <w:tcW w:w="2412" w:type="dxa"/>
            <w:tcBorders/>
            <w:vAlign w:val="center"/>
          </w:tcPr>
          <w:p>
            <w:pPr>
              <w:pStyle w:val="Contedodatabela"/>
              <w:widowControl w:val="false"/>
              <w:spacing w:lineRule="auto" w:line="276" w:before="0" w:after="200"/>
              <w:rPr/>
            </w:pPr>
            <w:r>
              <w:rPr>
                <w:rFonts w:ascii="Times New Roman" w:hAnsi="Times New Roman"/>
                <w:sz w:val="20"/>
                <w:szCs w:val="20"/>
              </w:rPr>
              <w:t>infecções urinárias, vaginais, bacterianas e cutâneas</w:t>
            </w:r>
          </w:p>
        </w:tc>
        <w:tc>
          <w:tcPr>
            <w:tcW w:w="2870" w:type="dxa"/>
            <w:tcBorders/>
            <w:vAlign w:val="center"/>
          </w:tcPr>
          <w:p>
            <w:pPr>
              <w:pStyle w:val="Contedodatabela"/>
              <w:widowControl w:val="false"/>
              <w:spacing w:lineRule="auto" w:line="276" w:before="0" w:after="0"/>
              <w:rPr/>
            </w:pPr>
            <w:r>
              <w:rPr>
                <w:rStyle w:val="Nfase"/>
                <w:rFonts w:ascii="Times New Roman" w:hAnsi="Times New Roman"/>
                <w:sz w:val="20"/>
                <w:szCs w:val="20"/>
              </w:rPr>
              <w:t>M. urundeuva</w:t>
            </w:r>
          </w:p>
          <w:p>
            <w:pPr>
              <w:pStyle w:val="Contedodatabela"/>
              <w:widowControl w:val="false"/>
              <w:spacing w:lineRule="auto" w:line="276" w:before="0" w:after="0"/>
              <w:rPr/>
            </w:pPr>
            <w:r>
              <w:rPr>
                <w:rStyle w:val="Nfase"/>
                <w:rFonts w:ascii="Times New Roman" w:hAnsi="Times New Roman"/>
                <w:sz w:val="20"/>
                <w:szCs w:val="20"/>
              </w:rPr>
              <w:t>S. terebinthifolius</w:t>
            </w:r>
          </w:p>
        </w:tc>
        <w:tc>
          <w:tcPr>
            <w:tcW w:w="1950" w:type="dxa"/>
            <w:tcBorders/>
            <w:vAlign w:val="center"/>
          </w:tcPr>
          <w:p>
            <w:pPr>
              <w:pStyle w:val="Contedodatabela"/>
              <w:widowControl w:val="false"/>
              <w:spacing w:lineRule="auto" w:line="276" w:before="0" w:after="200"/>
              <w:rPr/>
            </w:pPr>
            <w:r>
              <w:rPr>
                <w:rFonts w:ascii="Times New Roman" w:hAnsi="Times New Roman"/>
                <w:sz w:val="20"/>
                <w:szCs w:val="20"/>
              </w:rPr>
              <w:t>Bieski et al., 2012; Gomes; Bandeira, 2012</w:t>
            </w:r>
          </w:p>
        </w:tc>
      </w:tr>
      <w:tr>
        <w:trPr/>
        <w:tc>
          <w:tcPr>
            <w:tcW w:w="1837" w:type="dxa"/>
            <w:tcBorders/>
            <w:vAlign w:val="center"/>
          </w:tcPr>
          <w:p>
            <w:pPr>
              <w:pStyle w:val="Contedodatabela"/>
              <w:widowControl w:val="false"/>
              <w:spacing w:lineRule="auto" w:line="276" w:before="0" w:after="200"/>
              <w:rPr/>
            </w:pPr>
            <w:r>
              <w:rPr>
                <w:rFonts w:ascii="Times New Roman" w:hAnsi="Times New Roman"/>
                <w:sz w:val="20"/>
                <w:szCs w:val="20"/>
              </w:rPr>
              <w:t>Doenças respiratórias</w:t>
            </w:r>
          </w:p>
        </w:tc>
        <w:tc>
          <w:tcPr>
            <w:tcW w:w="2412" w:type="dxa"/>
            <w:tcBorders/>
            <w:vAlign w:val="center"/>
          </w:tcPr>
          <w:p>
            <w:pPr>
              <w:pStyle w:val="Contedodatabela"/>
              <w:widowControl w:val="false"/>
              <w:spacing w:lineRule="auto" w:line="276" w:before="0" w:after="200"/>
              <w:rPr/>
            </w:pPr>
            <w:r>
              <w:rPr>
                <w:rFonts w:ascii="Times New Roman" w:hAnsi="Times New Roman"/>
                <w:sz w:val="20"/>
                <w:szCs w:val="20"/>
              </w:rPr>
              <w:t>gripe, tosse, bronquite, inflamação da garganta</w:t>
            </w:r>
          </w:p>
        </w:tc>
        <w:tc>
          <w:tcPr>
            <w:tcW w:w="2870" w:type="dxa"/>
            <w:tcBorders/>
            <w:vAlign w:val="center"/>
          </w:tcPr>
          <w:p>
            <w:pPr>
              <w:pStyle w:val="Contedodatabela"/>
              <w:widowControl w:val="false"/>
              <w:spacing w:lineRule="auto" w:line="276" w:before="0" w:after="0"/>
              <w:rPr/>
            </w:pPr>
            <w:r>
              <w:rPr>
                <w:rStyle w:val="Nfase"/>
                <w:rFonts w:ascii="Times New Roman" w:hAnsi="Times New Roman"/>
                <w:sz w:val="20"/>
                <w:szCs w:val="20"/>
              </w:rPr>
              <w:t>A. fraxinifolium</w:t>
            </w:r>
          </w:p>
          <w:p>
            <w:pPr>
              <w:pStyle w:val="Contedodatabela"/>
              <w:widowControl w:val="false"/>
              <w:spacing w:lineRule="auto" w:line="276" w:before="0" w:after="0"/>
              <w:rPr/>
            </w:pPr>
            <w:r>
              <w:rPr>
                <w:rStyle w:val="Nfase"/>
                <w:rFonts w:ascii="Times New Roman" w:hAnsi="Times New Roman"/>
                <w:sz w:val="20"/>
                <w:szCs w:val="20"/>
              </w:rPr>
              <w:t>M. urundeuva</w:t>
            </w:r>
          </w:p>
        </w:tc>
        <w:tc>
          <w:tcPr>
            <w:tcW w:w="1950" w:type="dxa"/>
            <w:tcBorders/>
            <w:vAlign w:val="center"/>
          </w:tcPr>
          <w:p>
            <w:pPr>
              <w:pStyle w:val="Contedodatabela"/>
              <w:widowControl w:val="false"/>
              <w:spacing w:lineRule="auto" w:line="276" w:before="0" w:after="200"/>
              <w:rPr/>
            </w:pPr>
            <w:r>
              <w:rPr>
                <w:rFonts w:ascii="Times New Roman" w:hAnsi="Times New Roman"/>
                <w:sz w:val="20"/>
                <w:szCs w:val="20"/>
              </w:rPr>
              <w:t>Saraiva et al., 2015; Macêdo et al., 2015</w:t>
            </w:r>
          </w:p>
        </w:tc>
      </w:tr>
      <w:tr>
        <w:trPr/>
        <w:tc>
          <w:tcPr>
            <w:tcW w:w="1837" w:type="dxa"/>
            <w:tcBorders/>
            <w:vAlign w:val="center"/>
          </w:tcPr>
          <w:p>
            <w:pPr>
              <w:pStyle w:val="Contedodatabela"/>
              <w:widowControl w:val="false"/>
              <w:spacing w:lineRule="auto" w:line="276" w:before="0" w:after="200"/>
              <w:rPr/>
            </w:pPr>
            <w:r>
              <w:rPr>
                <w:rFonts w:ascii="Times New Roman" w:hAnsi="Times New Roman"/>
                <w:sz w:val="20"/>
                <w:szCs w:val="20"/>
              </w:rPr>
              <w:t>Distúrbios gastrointestinais</w:t>
            </w:r>
          </w:p>
        </w:tc>
        <w:tc>
          <w:tcPr>
            <w:tcW w:w="2412" w:type="dxa"/>
            <w:tcBorders/>
            <w:vAlign w:val="center"/>
          </w:tcPr>
          <w:p>
            <w:pPr>
              <w:pStyle w:val="Contedodatabela"/>
              <w:widowControl w:val="false"/>
              <w:spacing w:lineRule="auto" w:line="276" w:before="0" w:after="200"/>
              <w:rPr/>
            </w:pPr>
            <w:r>
              <w:rPr>
                <w:rFonts w:ascii="Times New Roman" w:hAnsi="Times New Roman"/>
                <w:sz w:val="20"/>
                <w:szCs w:val="20"/>
              </w:rPr>
              <w:t>gastrite, diarreia, dor de estômago, úlceras</w:t>
            </w:r>
          </w:p>
        </w:tc>
        <w:tc>
          <w:tcPr>
            <w:tcW w:w="2870" w:type="dxa"/>
            <w:tcBorders/>
            <w:vAlign w:val="center"/>
          </w:tcPr>
          <w:p>
            <w:pPr>
              <w:pStyle w:val="Contedodatabela"/>
              <w:widowControl w:val="false"/>
              <w:spacing w:lineRule="auto" w:line="276" w:before="0" w:after="0"/>
              <w:rPr/>
            </w:pPr>
            <w:r>
              <w:rPr>
                <w:rStyle w:val="Nfase"/>
                <w:rFonts w:ascii="Times New Roman" w:hAnsi="Times New Roman"/>
                <w:sz w:val="20"/>
                <w:szCs w:val="20"/>
              </w:rPr>
              <w:t>M. urundeuva</w:t>
            </w:r>
          </w:p>
          <w:p>
            <w:pPr>
              <w:pStyle w:val="Contedodatabela"/>
              <w:widowControl w:val="false"/>
              <w:spacing w:lineRule="auto" w:line="276" w:before="0" w:after="0"/>
              <w:rPr/>
            </w:pPr>
            <w:r>
              <w:rPr>
                <w:rStyle w:val="Nfase"/>
                <w:rFonts w:ascii="Times New Roman" w:hAnsi="Times New Roman"/>
                <w:sz w:val="20"/>
                <w:szCs w:val="20"/>
              </w:rPr>
              <w:t>S. terebinthifolius</w:t>
            </w:r>
          </w:p>
        </w:tc>
        <w:tc>
          <w:tcPr>
            <w:tcW w:w="1950" w:type="dxa"/>
            <w:tcBorders/>
            <w:vAlign w:val="center"/>
          </w:tcPr>
          <w:p>
            <w:pPr>
              <w:pStyle w:val="Contedodatabela"/>
              <w:widowControl w:val="false"/>
              <w:spacing w:lineRule="auto" w:line="276" w:before="0" w:after="200"/>
              <w:rPr/>
            </w:pPr>
            <w:r>
              <w:rPr>
                <w:rFonts w:ascii="Times New Roman" w:hAnsi="Times New Roman"/>
                <w:sz w:val="20"/>
                <w:szCs w:val="20"/>
              </w:rPr>
              <w:t>Ribeiro et al., 2017</w:t>
            </w:r>
          </w:p>
        </w:tc>
      </w:tr>
      <w:tr>
        <w:trPr/>
        <w:tc>
          <w:tcPr>
            <w:tcW w:w="1837" w:type="dxa"/>
            <w:tcBorders/>
            <w:vAlign w:val="center"/>
          </w:tcPr>
          <w:p>
            <w:pPr>
              <w:pStyle w:val="Contedodatabela"/>
              <w:widowControl w:val="false"/>
              <w:spacing w:lineRule="auto" w:line="276" w:before="0" w:after="200"/>
              <w:rPr/>
            </w:pPr>
            <w:r>
              <w:rPr>
                <w:rFonts w:ascii="Times New Roman" w:hAnsi="Times New Roman"/>
                <w:sz w:val="20"/>
                <w:szCs w:val="20"/>
              </w:rPr>
              <w:t>Cicatrização de feridas</w:t>
            </w:r>
          </w:p>
        </w:tc>
        <w:tc>
          <w:tcPr>
            <w:tcW w:w="2412" w:type="dxa"/>
            <w:tcBorders/>
            <w:vAlign w:val="center"/>
          </w:tcPr>
          <w:p>
            <w:pPr>
              <w:pStyle w:val="Contedodatabela"/>
              <w:widowControl w:val="false"/>
              <w:spacing w:lineRule="auto" w:line="276" w:before="0" w:after="200"/>
              <w:rPr/>
            </w:pPr>
            <w:r>
              <w:rPr>
                <w:rFonts w:ascii="Times New Roman" w:hAnsi="Times New Roman"/>
                <w:sz w:val="20"/>
                <w:szCs w:val="20"/>
              </w:rPr>
              <w:t>feridas, lesões cutâneas, queimaduras</w:t>
            </w:r>
          </w:p>
        </w:tc>
        <w:tc>
          <w:tcPr>
            <w:tcW w:w="2870" w:type="dxa"/>
            <w:tcBorders/>
            <w:vAlign w:val="center"/>
          </w:tcPr>
          <w:p>
            <w:pPr>
              <w:pStyle w:val="Contedodatabela"/>
              <w:widowControl w:val="false"/>
              <w:spacing w:lineRule="auto" w:line="276" w:before="0" w:after="0"/>
              <w:rPr/>
            </w:pPr>
            <w:r>
              <w:rPr>
                <w:rStyle w:val="Nfase"/>
                <w:rFonts w:ascii="Times New Roman" w:hAnsi="Times New Roman"/>
                <w:sz w:val="20"/>
                <w:szCs w:val="20"/>
              </w:rPr>
              <w:t>M. urundeuva</w:t>
            </w:r>
          </w:p>
          <w:p>
            <w:pPr>
              <w:pStyle w:val="Contedodatabela"/>
              <w:widowControl w:val="false"/>
              <w:spacing w:lineRule="auto" w:line="276" w:before="0" w:after="0"/>
              <w:rPr/>
            </w:pPr>
            <w:r>
              <w:rPr>
                <w:rStyle w:val="Nfase"/>
                <w:rFonts w:ascii="Times New Roman" w:hAnsi="Times New Roman"/>
                <w:sz w:val="20"/>
                <w:szCs w:val="20"/>
              </w:rPr>
              <w:t>Schinus terebinthifolius</w:t>
            </w:r>
          </w:p>
        </w:tc>
        <w:tc>
          <w:tcPr>
            <w:tcW w:w="1950" w:type="dxa"/>
            <w:tcBorders/>
            <w:vAlign w:val="center"/>
          </w:tcPr>
          <w:p>
            <w:pPr>
              <w:pStyle w:val="Contedodatabela"/>
              <w:widowControl w:val="false"/>
              <w:spacing w:lineRule="auto" w:line="276" w:before="0" w:after="200"/>
              <w:rPr/>
            </w:pPr>
            <w:r>
              <w:rPr>
                <w:rFonts w:ascii="Times New Roman" w:hAnsi="Times New Roman"/>
                <w:sz w:val="20"/>
                <w:szCs w:val="20"/>
              </w:rPr>
              <w:t>Nascimento &amp; Morais, 2017</w:t>
            </w:r>
          </w:p>
        </w:tc>
      </w:tr>
      <w:tr>
        <w:trPr/>
        <w:tc>
          <w:tcPr>
            <w:tcW w:w="1837" w:type="dxa"/>
            <w:tcBorders/>
            <w:vAlign w:val="center"/>
          </w:tcPr>
          <w:p>
            <w:pPr>
              <w:pStyle w:val="Contedodatabela"/>
              <w:widowControl w:val="false"/>
              <w:spacing w:lineRule="auto" w:line="276" w:before="0" w:after="200"/>
              <w:rPr/>
            </w:pPr>
            <w:r>
              <w:rPr>
                <w:rFonts w:ascii="Times New Roman" w:hAnsi="Times New Roman"/>
                <w:sz w:val="20"/>
                <w:szCs w:val="20"/>
              </w:rPr>
              <w:t>Doenças ginecológicas</w:t>
            </w:r>
          </w:p>
        </w:tc>
        <w:tc>
          <w:tcPr>
            <w:tcW w:w="2412" w:type="dxa"/>
            <w:tcBorders/>
            <w:vAlign w:val="center"/>
          </w:tcPr>
          <w:p>
            <w:pPr>
              <w:pStyle w:val="Contedodatabela"/>
              <w:widowControl w:val="false"/>
              <w:spacing w:lineRule="auto" w:line="276" w:before="0" w:after="200"/>
              <w:rPr/>
            </w:pPr>
            <w:r>
              <w:rPr>
                <w:rFonts w:ascii="Times New Roman" w:hAnsi="Times New Roman"/>
                <w:sz w:val="20"/>
                <w:szCs w:val="20"/>
              </w:rPr>
              <w:t>corrimento vaginal, inflamação uterina, infecções genitais</w:t>
            </w:r>
          </w:p>
        </w:tc>
        <w:tc>
          <w:tcPr>
            <w:tcW w:w="2870" w:type="dxa"/>
            <w:tcBorders/>
            <w:vAlign w:val="center"/>
          </w:tcPr>
          <w:p>
            <w:pPr>
              <w:pStyle w:val="Contedodatabela"/>
              <w:widowControl w:val="false"/>
              <w:spacing w:lineRule="auto" w:line="276" w:before="0" w:after="0"/>
              <w:rPr/>
            </w:pPr>
            <w:r>
              <w:rPr>
                <w:rStyle w:val="Nfase"/>
                <w:rFonts w:ascii="Times New Roman" w:hAnsi="Times New Roman"/>
                <w:sz w:val="20"/>
                <w:szCs w:val="20"/>
              </w:rPr>
              <w:t>M. urundeuva</w:t>
            </w:r>
          </w:p>
          <w:p>
            <w:pPr>
              <w:pStyle w:val="Contedodatabela"/>
              <w:widowControl w:val="false"/>
              <w:spacing w:lineRule="auto" w:line="276" w:before="0" w:after="0"/>
              <w:rPr/>
            </w:pPr>
            <w:r>
              <w:rPr>
                <w:rStyle w:val="Nfase"/>
                <w:rFonts w:ascii="Times New Roman" w:hAnsi="Times New Roman"/>
                <w:sz w:val="20"/>
                <w:szCs w:val="20"/>
              </w:rPr>
              <w:t>S. terebinthifolius</w:t>
            </w:r>
          </w:p>
        </w:tc>
        <w:tc>
          <w:tcPr>
            <w:tcW w:w="1950" w:type="dxa"/>
            <w:tcBorders/>
            <w:vAlign w:val="center"/>
          </w:tcPr>
          <w:p>
            <w:pPr>
              <w:pStyle w:val="Contedodatabela"/>
              <w:widowControl w:val="false"/>
              <w:spacing w:lineRule="auto" w:line="276" w:before="0" w:after="200"/>
              <w:rPr/>
            </w:pPr>
            <w:r>
              <w:rPr>
                <w:rFonts w:ascii="Times New Roman" w:hAnsi="Times New Roman"/>
                <w:sz w:val="20"/>
                <w:szCs w:val="20"/>
              </w:rPr>
              <w:t>Cecílio et al., 2012</w:t>
            </w:r>
          </w:p>
        </w:tc>
      </w:tr>
    </w:tbl>
    <w:p>
      <w:pPr>
        <w:pStyle w:val="Normal"/>
        <w:spacing w:lineRule="auto" w:line="276" w:before="0" w:after="0"/>
        <w:ind w:hanging="0"/>
        <w:jc w:val="center"/>
        <w:rPr/>
      </w:pPr>
      <w:r>
        <w:rPr>
          <w:rFonts w:ascii="Times New Roman" w:hAnsi="Times New Roman"/>
          <w:b/>
          <w:bCs/>
          <w:color w:val="000000" w:themeColor="text1"/>
          <w:sz w:val="18"/>
          <w:szCs w:val="18"/>
        </w:rPr>
        <w:t xml:space="preserve">Fonte: </w:t>
      </w:r>
      <w:r>
        <w:rPr>
          <w:rFonts w:ascii="Times New Roman" w:hAnsi="Times New Roman"/>
          <w:b w:val="false"/>
          <w:bCs w:val="false"/>
          <w:color w:val="000000" w:themeColor="text1"/>
          <w:sz w:val="18"/>
          <w:szCs w:val="18"/>
        </w:rPr>
        <w:t>Elaboração dos autores, a partir de dados compilados da literatura etnobotânica.</w:t>
      </w:r>
    </w:p>
    <w:p>
      <w:pPr>
        <w:pStyle w:val="Normal"/>
        <w:spacing w:lineRule="auto" w:line="276" w:before="0" w:after="0"/>
        <w:ind w:hanging="0"/>
        <w:jc w:val="center"/>
        <w:rPr>
          <w:rFonts w:ascii="Times New Roman" w:hAnsi="Times New Roman"/>
          <w:b w:val="false"/>
          <w:bCs w:val="false"/>
          <w:color w:val="000000" w:themeColor="text1"/>
          <w:sz w:val="18"/>
          <w:szCs w:val="18"/>
        </w:rPr>
      </w:pPr>
      <w:r>
        <w:rPr>
          <w:rFonts w:ascii="Times New Roman" w:hAnsi="Times New Roman"/>
          <w:b w:val="false"/>
          <w:bCs w:val="false"/>
          <w:color w:val="000000" w:themeColor="text1"/>
          <w:sz w:val="18"/>
          <w:szCs w:val="18"/>
        </w:rPr>
      </w:r>
    </w:p>
    <w:p>
      <w:pPr>
        <w:pStyle w:val="Normal"/>
        <w:spacing w:lineRule="auto" w:line="276" w:before="0" w:after="0"/>
        <w:jc w:val="both"/>
        <w:rPr/>
      </w:pPr>
      <w:r>
        <w:rPr/>
        <w:tab/>
      </w:r>
      <w:r>
        <w:rPr>
          <w:rFonts w:ascii="Times New Roman" w:hAnsi="Times New Roman"/>
          <w:sz w:val="24"/>
          <w:szCs w:val="24"/>
        </w:rPr>
        <w:t xml:space="preserve">A predominância de indicações relacionadas ao tratamento de inflamações e infecções sugere que essas espécies possuem compostos bioativos com potencial farmacológico relevante. Diversos estudos fitoquímicos relatam a presença de taninos, flavonoides e terpenos nas espécies analisadas, metabólitos secundários frequentemente associados a propriedades anti-inflamatórias e antimicrobianas. Esse padrão reforça a convergência entre os usos tradicionais e as evidências experimentais descritas na literatura científica. </w:t>
      </w:r>
    </w:p>
    <w:p>
      <w:pPr>
        <w:pStyle w:val="Normal"/>
        <w:spacing w:lineRule="auto" w:line="276" w:before="0" w:after="0"/>
        <w:jc w:val="both"/>
        <w:rPr/>
      </w:pPr>
      <w:r>
        <w:rPr>
          <w:rFonts w:ascii="Times New Roman" w:hAnsi="Times New Roman"/>
          <w:sz w:val="24"/>
          <w:szCs w:val="24"/>
        </w:rPr>
        <w:tab/>
        <w:t xml:space="preserve">Os registros etnobotânicos associados às espécies de aroeira revelam ampla diversidade de aplicações terapêuticas na medicina tradicional. Estudos fitoquímicos e farmacológicos têm demonstrado que muitos desses usos populares encontram respaldo em evidências experimentais. A convergência entre o conhecimento tradicional e os resultados obtidos em estudos laboratoriais reforça o potencial dessas espécies como fontes de compostos bioativos de interesse farmacológico. A relação entre usos tradicionais, atividades farmacológicas descritas e principais classes de metabólitos secundários associados encontra-se sintetizada no </w:t>
      </w:r>
      <w:r>
        <w:rPr>
          <w:rStyle w:val="Strong"/>
          <w:rFonts w:ascii="Times New Roman" w:hAnsi="Times New Roman"/>
          <w:b w:val="false"/>
          <w:bCs w:val="false"/>
          <w:sz w:val="24"/>
          <w:szCs w:val="24"/>
        </w:rPr>
        <w:t>Quadro 6</w:t>
      </w:r>
      <w:r>
        <w:rPr>
          <w:rFonts w:ascii="Times New Roman" w:hAnsi="Times New Roman"/>
          <w:b w:val="false"/>
          <w:bCs w:val="false"/>
          <w:sz w:val="24"/>
          <w:szCs w:val="24"/>
        </w:rPr>
        <w:t xml:space="preserve">. </w:t>
      </w:r>
    </w:p>
    <w:p>
      <w:pPr>
        <w:pStyle w:val="Normal"/>
        <w:spacing w:lineRule="auto" w:line="276" w:before="0" w:after="0"/>
        <w:jc w:val="both"/>
        <w:rPr>
          <w:rFonts w:ascii="Times New Roman" w:hAnsi="Times New Roman"/>
          <w:b w:val="false"/>
          <w:bCs w:val="false"/>
          <w:sz w:val="24"/>
          <w:szCs w:val="24"/>
        </w:rPr>
      </w:pPr>
      <w:r>
        <w:rPr>
          <w:rFonts w:ascii="Times New Roman" w:hAnsi="Times New Roman"/>
          <w:b w:val="false"/>
          <w:bCs w:val="false"/>
          <w:sz w:val="24"/>
          <w:szCs w:val="24"/>
        </w:rPr>
      </w:r>
    </w:p>
    <w:p>
      <w:pPr>
        <w:pStyle w:val="Normal"/>
        <w:spacing w:lineRule="auto" w:line="276" w:before="0" w:after="0"/>
        <w:jc w:val="center"/>
        <w:rPr/>
      </w:pPr>
      <w:r>
        <w:rPr>
          <w:rFonts w:ascii="Times New Roman" w:hAnsi="Times New Roman"/>
          <w:b/>
          <w:bCs/>
          <w:sz w:val="24"/>
          <w:szCs w:val="24"/>
        </w:rPr>
        <w:t xml:space="preserve">Quadro 6 - </w:t>
      </w:r>
      <w:r>
        <w:rPr>
          <w:rFonts w:ascii="Times New Roman" w:hAnsi="Times New Roman"/>
          <w:sz w:val="24"/>
          <w:szCs w:val="24"/>
        </w:rPr>
        <w:t>Convergência entre uso tradicional e evidência farmacológica das aroeiras.</w:t>
      </w:r>
    </w:p>
    <w:tbl>
      <w:tblPr>
        <w:tblW w:w="9070" w:type="dxa"/>
        <w:jc w:val="left"/>
        <w:tblInd w:w="0" w:type="dxa"/>
        <w:tblLayout w:type="fixed"/>
        <w:tblCellMar>
          <w:top w:w="28" w:type="dxa"/>
          <w:left w:w="28" w:type="dxa"/>
          <w:bottom w:w="28" w:type="dxa"/>
          <w:right w:w="28" w:type="dxa"/>
        </w:tblCellMar>
      </w:tblPr>
      <w:tblGrid>
        <w:gridCol w:w="1628"/>
        <w:gridCol w:w="2047"/>
        <w:gridCol w:w="2078"/>
        <w:gridCol w:w="1649"/>
        <w:gridCol w:w="1668"/>
      </w:tblGrid>
      <w:tr>
        <w:trPr>
          <w:tblHeader w:val="true"/>
        </w:trPr>
        <w:tc>
          <w:tcPr>
            <w:tcW w:w="1628" w:type="dxa"/>
            <w:tcBorders/>
            <w:vAlign w:val="center"/>
          </w:tcPr>
          <w:p>
            <w:pPr>
              <w:pStyle w:val="Ttulodetabela"/>
              <w:widowControl w:val="false"/>
              <w:spacing w:lineRule="auto" w:line="276" w:before="0" w:after="200"/>
              <w:rPr/>
            </w:pPr>
            <w:r>
              <w:rPr>
                <w:rFonts w:ascii="Times New Roman" w:hAnsi="Times New Roman"/>
                <w:sz w:val="20"/>
                <w:szCs w:val="20"/>
              </w:rPr>
              <w:t>Espécie</w:t>
            </w:r>
          </w:p>
        </w:tc>
        <w:tc>
          <w:tcPr>
            <w:tcW w:w="2047" w:type="dxa"/>
            <w:tcBorders/>
            <w:vAlign w:val="center"/>
          </w:tcPr>
          <w:p>
            <w:pPr>
              <w:pStyle w:val="Ttulodetabela"/>
              <w:widowControl w:val="false"/>
              <w:spacing w:lineRule="auto" w:line="276" w:before="0" w:after="200"/>
              <w:rPr/>
            </w:pPr>
            <w:r>
              <w:rPr>
                <w:rFonts w:ascii="Times New Roman" w:hAnsi="Times New Roman"/>
                <w:sz w:val="20"/>
                <w:szCs w:val="20"/>
              </w:rPr>
              <w:t>Uso tradicional relatado</w:t>
            </w:r>
          </w:p>
        </w:tc>
        <w:tc>
          <w:tcPr>
            <w:tcW w:w="2078" w:type="dxa"/>
            <w:tcBorders/>
            <w:vAlign w:val="center"/>
          </w:tcPr>
          <w:p>
            <w:pPr>
              <w:pStyle w:val="Ttulodetabela"/>
              <w:widowControl w:val="false"/>
              <w:spacing w:lineRule="auto" w:line="276" w:before="0" w:after="200"/>
              <w:rPr/>
            </w:pPr>
            <w:r>
              <w:rPr>
                <w:rFonts w:ascii="Times New Roman" w:hAnsi="Times New Roman"/>
                <w:sz w:val="20"/>
                <w:szCs w:val="20"/>
              </w:rPr>
              <w:t>Evidência farmacológica descrita</w:t>
            </w:r>
          </w:p>
        </w:tc>
        <w:tc>
          <w:tcPr>
            <w:tcW w:w="1649" w:type="dxa"/>
            <w:tcBorders/>
            <w:vAlign w:val="center"/>
          </w:tcPr>
          <w:p>
            <w:pPr>
              <w:pStyle w:val="Ttulodetabela"/>
              <w:widowControl w:val="false"/>
              <w:spacing w:lineRule="auto" w:line="276" w:before="0" w:after="200"/>
              <w:rPr/>
            </w:pPr>
            <w:r>
              <w:rPr>
                <w:rFonts w:ascii="Times New Roman" w:hAnsi="Times New Roman"/>
                <w:sz w:val="20"/>
                <w:szCs w:val="20"/>
              </w:rPr>
              <w:t>Compostos associados</w:t>
            </w:r>
          </w:p>
        </w:tc>
        <w:tc>
          <w:tcPr>
            <w:tcW w:w="1668" w:type="dxa"/>
            <w:tcBorders/>
            <w:vAlign w:val="center"/>
          </w:tcPr>
          <w:p>
            <w:pPr>
              <w:pStyle w:val="Ttulodetabela"/>
              <w:widowControl w:val="false"/>
              <w:spacing w:lineRule="auto" w:line="276" w:before="0" w:after="200"/>
              <w:rPr/>
            </w:pPr>
            <w:r>
              <w:rPr>
                <w:rFonts w:ascii="Times New Roman" w:hAnsi="Times New Roman"/>
                <w:sz w:val="20"/>
                <w:szCs w:val="20"/>
              </w:rPr>
              <w:t>Referências</w:t>
            </w:r>
          </w:p>
        </w:tc>
      </w:tr>
      <w:tr>
        <w:trPr/>
        <w:tc>
          <w:tcPr>
            <w:tcW w:w="1628" w:type="dxa"/>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Astronium fraxinifolium</w:t>
            </w:r>
            <w:r>
              <w:rPr>
                <w:rFonts w:ascii="Times New Roman" w:hAnsi="Times New Roman"/>
                <w:sz w:val="20"/>
                <w:szCs w:val="20"/>
              </w:rPr>
              <w:t xml:space="preserve"> Schott</w:t>
            </w:r>
          </w:p>
        </w:tc>
        <w:tc>
          <w:tcPr>
            <w:tcW w:w="2047" w:type="dxa"/>
            <w:tcBorders/>
            <w:vAlign w:val="center"/>
          </w:tcPr>
          <w:p>
            <w:pPr>
              <w:pStyle w:val="Contedodatabela"/>
              <w:widowControl w:val="false"/>
              <w:spacing w:lineRule="auto" w:line="276" w:before="0" w:after="200"/>
              <w:rPr/>
            </w:pPr>
            <w:r>
              <w:rPr>
                <w:rFonts w:ascii="Times New Roman" w:hAnsi="Times New Roman"/>
                <w:sz w:val="20"/>
                <w:szCs w:val="20"/>
              </w:rPr>
              <w:t>tratamento de inflamações, gripe, tosse e distúrbios gastrointestinais</w:t>
            </w:r>
          </w:p>
        </w:tc>
        <w:tc>
          <w:tcPr>
            <w:tcW w:w="2078" w:type="dxa"/>
            <w:tcBorders/>
            <w:vAlign w:val="center"/>
          </w:tcPr>
          <w:p>
            <w:pPr>
              <w:pStyle w:val="Contedodatabela"/>
              <w:widowControl w:val="false"/>
              <w:spacing w:lineRule="auto" w:line="276" w:before="0" w:after="200"/>
              <w:rPr/>
            </w:pPr>
            <w:r>
              <w:rPr>
                <w:rFonts w:ascii="Times New Roman" w:hAnsi="Times New Roman"/>
                <w:sz w:val="20"/>
                <w:szCs w:val="20"/>
              </w:rPr>
              <w:t>atividade antioxidante, anti-inflamatória e antimicrobiana</w:t>
            </w:r>
          </w:p>
        </w:tc>
        <w:tc>
          <w:tcPr>
            <w:tcW w:w="1649" w:type="dxa"/>
            <w:tcBorders/>
            <w:vAlign w:val="center"/>
          </w:tcPr>
          <w:p>
            <w:pPr>
              <w:pStyle w:val="Contedodatabela"/>
              <w:widowControl w:val="false"/>
              <w:spacing w:lineRule="auto" w:line="276" w:before="0" w:after="200"/>
              <w:rPr/>
            </w:pPr>
            <w:r>
              <w:rPr>
                <w:rFonts w:ascii="Times New Roman" w:hAnsi="Times New Roman"/>
                <w:sz w:val="20"/>
                <w:szCs w:val="20"/>
              </w:rPr>
              <w:t>flavonoides, taninos e compostos fenólicos</w:t>
            </w:r>
          </w:p>
        </w:tc>
        <w:tc>
          <w:tcPr>
            <w:tcW w:w="1668" w:type="dxa"/>
            <w:tcBorders/>
            <w:vAlign w:val="center"/>
          </w:tcPr>
          <w:p>
            <w:pPr>
              <w:pStyle w:val="Contedodatabela"/>
              <w:widowControl w:val="false"/>
              <w:spacing w:lineRule="auto" w:line="276" w:before="0" w:after="200"/>
              <w:rPr/>
            </w:pPr>
            <w:r>
              <w:rPr>
                <w:rFonts w:ascii="Times New Roman" w:hAnsi="Times New Roman"/>
                <w:sz w:val="20"/>
                <w:szCs w:val="20"/>
              </w:rPr>
              <w:t>Pauli et al., 2018; Braga et al., 2019</w:t>
            </w:r>
          </w:p>
        </w:tc>
      </w:tr>
      <w:tr>
        <w:trPr/>
        <w:tc>
          <w:tcPr>
            <w:tcW w:w="1628" w:type="dxa"/>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Myracrodruon urundeuva</w:t>
            </w:r>
            <w:r>
              <w:rPr>
                <w:rFonts w:ascii="Times New Roman" w:hAnsi="Times New Roman"/>
                <w:sz w:val="20"/>
                <w:szCs w:val="20"/>
              </w:rPr>
              <w:t xml:space="preserve"> M. Allemão</w:t>
            </w:r>
          </w:p>
        </w:tc>
        <w:tc>
          <w:tcPr>
            <w:tcW w:w="2047" w:type="dxa"/>
            <w:tcBorders/>
            <w:vAlign w:val="center"/>
          </w:tcPr>
          <w:p>
            <w:pPr>
              <w:pStyle w:val="Contedodatabela"/>
              <w:widowControl w:val="false"/>
              <w:spacing w:lineRule="auto" w:line="276" w:before="0" w:after="200"/>
              <w:rPr/>
            </w:pPr>
            <w:r>
              <w:rPr>
                <w:rFonts w:ascii="Times New Roman" w:hAnsi="Times New Roman"/>
                <w:sz w:val="20"/>
                <w:szCs w:val="20"/>
              </w:rPr>
              <w:t>tratamento de inflamações, infecções, gastrite, úlceras e cicatrização de feridas</w:t>
            </w:r>
          </w:p>
        </w:tc>
        <w:tc>
          <w:tcPr>
            <w:tcW w:w="2078" w:type="dxa"/>
            <w:tcBorders/>
            <w:vAlign w:val="center"/>
          </w:tcPr>
          <w:p>
            <w:pPr>
              <w:pStyle w:val="Contedodatabela"/>
              <w:widowControl w:val="false"/>
              <w:spacing w:lineRule="auto" w:line="276" w:before="0" w:after="200"/>
              <w:rPr/>
            </w:pPr>
            <w:r>
              <w:rPr>
                <w:rFonts w:ascii="Times New Roman" w:hAnsi="Times New Roman"/>
                <w:sz w:val="20"/>
                <w:szCs w:val="20"/>
              </w:rPr>
              <w:t>atividade anti-inflamatória, cicatrizante, antimicrobiana e gastroprotetora</w:t>
            </w:r>
          </w:p>
        </w:tc>
        <w:tc>
          <w:tcPr>
            <w:tcW w:w="1649" w:type="dxa"/>
            <w:tcBorders/>
            <w:vAlign w:val="center"/>
          </w:tcPr>
          <w:p>
            <w:pPr>
              <w:pStyle w:val="Contedodatabela"/>
              <w:widowControl w:val="false"/>
              <w:spacing w:lineRule="auto" w:line="276" w:before="0" w:after="200"/>
              <w:rPr/>
            </w:pPr>
            <w:r>
              <w:rPr>
                <w:rFonts w:ascii="Times New Roman" w:hAnsi="Times New Roman"/>
                <w:sz w:val="20"/>
                <w:szCs w:val="20"/>
              </w:rPr>
              <w:t>taninos condensados, flavonoides e compostos fenólicos</w:t>
            </w:r>
          </w:p>
        </w:tc>
        <w:tc>
          <w:tcPr>
            <w:tcW w:w="1668" w:type="dxa"/>
            <w:tcBorders/>
            <w:vAlign w:val="center"/>
          </w:tcPr>
          <w:p>
            <w:pPr>
              <w:pStyle w:val="Contedodatabela"/>
              <w:widowControl w:val="false"/>
              <w:spacing w:lineRule="auto" w:line="276" w:before="0" w:after="200"/>
              <w:rPr/>
            </w:pPr>
            <w:r>
              <w:rPr>
                <w:rFonts w:ascii="Times New Roman" w:hAnsi="Times New Roman"/>
                <w:sz w:val="20"/>
                <w:szCs w:val="20"/>
              </w:rPr>
              <w:t>Cecílio et al., 2012; Bieski et al., 2012; Ribeiro et al., 2017</w:t>
            </w:r>
          </w:p>
        </w:tc>
      </w:tr>
      <w:tr>
        <w:trPr/>
        <w:tc>
          <w:tcPr>
            <w:tcW w:w="1628" w:type="dxa"/>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Schinus terebinthifolius</w:t>
            </w:r>
            <w:r>
              <w:rPr>
                <w:rFonts w:ascii="Times New Roman" w:hAnsi="Times New Roman"/>
                <w:sz w:val="20"/>
                <w:szCs w:val="20"/>
              </w:rPr>
              <w:t xml:space="preserve"> Raddi</w:t>
            </w:r>
          </w:p>
        </w:tc>
        <w:tc>
          <w:tcPr>
            <w:tcW w:w="2047" w:type="dxa"/>
            <w:tcBorders/>
            <w:vAlign w:val="center"/>
          </w:tcPr>
          <w:p>
            <w:pPr>
              <w:pStyle w:val="Contedodatabela"/>
              <w:widowControl w:val="false"/>
              <w:spacing w:lineRule="auto" w:line="276" w:before="0" w:after="200"/>
              <w:rPr/>
            </w:pPr>
            <w:r>
              <w:rPr>
                <w:rFonts w:ascii="Times New Roman" w:hAnsi="Times New Roman"/>
                <w:sz w:val="20"/>
                <w:szCs w:val="20"/>
              </w:rPr>
              <w:t>cicatrização de feridas, inflamações, infecções e doenças respiratórias</w:t>
            </w:r>
          </w:p>
        </w:tc>
        <w:tc>
          <w:tcPr>
            <w:tcW w:w="2078" w:type="dxa"/>
            <w:tcBorders/>
            <w:vAlign w:val="center"/>
          </w:tcPr>
          <w:p>
            <w:pPr>
              <w:pStyle w:val="Contedodatabela"/>
              <w:widowControl w:val="false"/>
              <w:spacing w:lineRule="auto" w:line="276" w:before="0" w:after="200"/>
              <w:rPr/>
            </w:pPr>
            <w:r>
              <w:rPr>
                <w:rFonts w:ascii="Times New Roman" w:hAnsi="Times New Roman"/>
                <w:sz w:val="20"/>
                <w:szCs w:val="20"/>
              </w:rPr>
              <w:t>atividade antimicrobiana, anti-inflamatória, antioxidante e cicatrizante</w:t>
            </w:r>
          </w:p>
        </w:tc>
        <w:tc>
          <w:tcPr>
            <w:tcW w:w="1649" w:type="dxa"/>
            <w:tcBorders/>
            <w:vAlign w:val="center"/>
          </w:tcPr>
          <w:p>
            <w:pPr>
              <w:pStyle w:val="Contedodatabela"/>
              <w:widowControl w:val="false"/>
              <w:spacing w:lineRule="auto" w:line="276" w:before="0" w:after="200"/>
              <w:rPr/>
            </w:pPr>
            <w:r>
              <w:rPr>
                <w:rFonts w:ascii="Times New Roman" w:hAnsi="Times New Roman"/>
                <w:sz w:val="20"/>
                <w:szCs w:val="20"/>
              </w:rPr>
              <w:t>terpenos, flavonoides e ácidos fenólicos</w:t>
            </w:r>
          </w:p>
        </w:tc>
        <w:tc>
          <w:tcPr>
            <w:tcW w:w="1668" w:type="dxa"/>
            <w:tcBorders/>
            <w:vAlign w:val="center"/>
          </w:tcPr>
          <w:p>
            <w:pPr>
              <w:pStyle w:val="Contedodatabela"/>
              <w:widowControl w:val="false"/>
              <w:spacing w:lineRule="auto" w:line="276" w:before="0" w:after="200"/>
              <w:rPr/>
            </w:pPr>
            <w:r>
              <w:rPr>
                <w:rFonts w:ascii="Times New Roman" w:hAnsi="Times New Roman"/>
                <w:sz w:val="20"/>
                <w:szCs w:val="20"/>
              </w:rPr>
              <w:t>Nascimento; Morais, 2017; Gomes &amp; Bandeira, 2012; Bezerra et al., 2022</w:t>
            </w:r>
          </w:p>
        </w:tc>
      </w:tr>
    </w:tbl>
    <w:p>
      <w:pPr>
        <w:pStyle w:val="Normal"/>
        <w:spacing w:lineRule="auto" w:line="276" w:before="0" w:after="0"/>
        <w:ind w:hanging="0"/>
        <w:jc w:val="center"/>
        <w:rPr/>
      </w:pPr>
      <w:r>
        <w:rPr>
          <w:rFonts w:ascii="Times New Roman" w:hAnsi="Times New Roman"/>
          <w:b/>
          <w:bCs/>
          <w:color w:val="000000" w:themeColor="text1"/>
          <w:sz w:val="18"/>
          <w:szCs w:val="18"/>
        </w:rPr>
        <w:t xml:space="preserve">Fonte: </w:t>
      </w:r>
      <w:r>
        <w:rPr>
          <w:rFonts w:ascii="Times New Roman" w:hAnsi="Times New Roman"/>
          <w:b w:val="false"/>
          <w:bCs w:val="false"/>
          <w:color w:val="000000" w:themeColor="text1"/>
          <w:sz w:val="18"/>
          <w:szCs w:val="18"/>
        </w:rPr>
        <w:t>Elaboração dos autores, a partir de dados compilados da literatura etnobotânica.</w:t>
      </w:r>
    </w:p>
    <w:p>
      <w:pPr>
        <w:pStyle w:val="Normal"/>
        <w:spacing w:lineRule="auto" w:line="276" w:before="0" w:after="0"/>
        <w:jc w:val="both"/>
        <w:rPr>
          <w:rFonts w:ascii="Times New Roman" w:hAnsi="Times New Roman"/>
          <w:sz w:val="24"/>
          <w:szCs w:val="24"/>
        </w:rPr>
      </w:pPr>
      <w:r>
        <w:rPr>
          <w:rFonts w:ascii="Times New Roman" w:hAnsi="Times New Roman"/>
          <w:sz w:val="24"/>
          <w:szCs w:val="24"/>
        </w:rPr>
      </w:r>
    </w:p>
    <w:p>
      <w:pPr>
        <w:pStyle w:val="Normal"/>
        <w:spacing w:lineRule="auto" w:line="276" w:before="0" w:after="0"/>
        <w:jc w:val="both"/>
        <w:rPr/>
      </w:pPr>
      <w:r>
        <w:rPr>
          <w:rFonts w:ascii="Times New Roman" w:hAnsi="Times New Roman"/>
          <w:sz w:val="24"/>
          <w:szCs w:val="24"/>
        </w:rPr>
        <w:tab/>
        <w:t>A análise integrada dos dados apresentados no quadro evidencia que diversas indicações terapêuticas atribuídas às aroeiras na medicina tradicional são corroboradas por estudos farmacológicos recentes. Em especial, a predominância de usos relacionados ao tratamento de inflamações e infecções apresenta correspondência com atividades anti-inflamatórias e antimicrobianas descritas para os extratos dessas espécies. Essa convergência entre conhecimento tradicional e evidência científica reforça o potencial das aroeiras como fontes promissoras para o desenvolvimento de fitoterápicos e novos agentes terapêuticos (RATES, 2001; MACIEL et al., 2002).</w:t>
      </w:r>
    </w:p>
    <w:p>
      <w:pPr>
        <w:pStyle w:val="Normal"/>
        <w:spacing w:lineRule="auto" w:line="276" w:before="0" w:after="0"/>
        <w:jc w:val="both"/>
        <w:rPr/>
      </w:pPr>
      <w:r>
        <w:rPr>
          <w:rFonts w:ascii="Times New Roman" w:hAnsi="Times New Roman"/>
          <w:sz w:val="24"/>
          <w:szCs w:val="24"/>
        </w:rPr>
        <w:tab/>
        <w:t xml:space="preserve">Além das atividades farmacológicas descritas para as espécies analisadas, estudos experimentais também têm investigado aspectos relacionados à segurança toxicológica dessas plantas. De modo geral, os resultados disponíveis na literatura indicam baixa toxicidade para extratos obtidos das espécies de aroeira quando utilizados em concentrações compatíveis com aplicações terapêuticas (SIMÕES et al., 2017). A síntese dos principais estudos de toxicidade envolvendo </w:t>
      </w:r>
      <w:r>
        <w:rPr>
          <w:rStyle w:val="Nfase"/>
          <w:rFonts w:ascii="Times New Roman" w:hAnsi="Times New Roman"/>
          <w:sz w:val="24"/>
          <w:szCs w:val="24"/>
        </w:rPr>
        <w:t>A. fraxinifolium</w:t>
      </w:r>
      <w:r>
        <w:rPr>
          <w:rFonts w:ascii="Times New Roman" w:hAnsi="Times New Roman"/>
          <w:sz w:val="24"/>
          <w:szCs w:val="24"/>
        </w:rPr>
        <w:t xml:space="preserve">, </w:t>
      </w:r>
      <w:r>
        <w:rPr>
          <w:rStyle w:val="Nfase"/>
          <w:rFonts w:ascii="Times New Roman" w:hAnsi="Times New Roman"/>
          <w:sz w:val="24"/>
          <w:szCs w:val="24"/>
        </w:rPr>
        <w:t>M. urundeuva</w:t>
      </w:r>
      <w:r>
        <w:rPr>
          <w:rFonts w:ascii="Times New Roman" w:hAnsi="Times New Roman"/>
          <w:sz w:val="24"/>
          <w:szCs w:val="24"/>
        </w:rPr>
        <w:t xml:space="preserve"> e </w:t>
      </w:r>
      <w:r>
        <w:rPr>
          <w:rStyle w:val="Nfase"/>
          <w:rFonts w:ascii="Times New Roman" w:hAnsi="Times New Roman"/>
          <w:sz w:val="24"/>
          <w:szCs w:val="24"/>
        </w:rPr>
        <w:t>S. terebinthifolius</w:t>
      </w:r>
      <w:r>
        <w:rPr>
          <w:rFonts w:ascii="Times New Roman" w:hAnsi="Times New Roman"/>
          <w:sz w:val="24"/>
          <w:szCs w:val="24"/>
        </w:rPr>
        <w:t xml:space="preserve"> encontra-se apresentada no </w:t>
      </w:r>
      <w:r>
        <w:rPr>
          <w:rStyle w:val="Strong"/>
          <w:rFonts w:ascii="Times New Roman" w:hAnsi="Times New Roman"/>
          <w:b w:val="false"/>
          <w:bCs w:val="false"/>
          <w:sz w:val="24"/>
          <w:szCs w:val="24"/>
        </w:rPr>
        <w:t>Quadro 7.</w:t>
      </w:r>
      <w:r>
        <w:rPr>
          <w:rFonts w:ascii="Times New Roman" w:hAnsi="Times New Roman"/>
          <w:b w:val="false"/>
          <w:bCs w:val="false"/>
          <w:sz w:val="24"/>
          <w:szCs w:val="24"/>
        </w:rPr>
        <w:t xml:space="preserve"> </w:t>
      </w:r>
    </w:p>
    <w:p>
      <w:pPr>
        <w:pStyle w:val="Normal"/>
        <w:spacing w:lineRule="auto" w:line="276" w:before="0" w:after="0"/>
        <w:jc w:val="both"/>
        <w:rPr>
          <w:rFonts w:ascii="Times New Roman" w:hAnsi="Times New Roman"/>
          <w:b w:val="false"/>
          <w:bCs w:val="false"/>
          <w:sz w:val="24"/>
          <w:szCs w:val="24"/>
        </w:rPr>
      </w:pPr>
      <w:r>
        <w:rPr>
          <w:rFonts w:ascii="Times New Roman" w:hAnsi="Times New Roman"/>
          <w:b w:val="false"/>
          <w:bCs w:val="false"/>
          <w:sz w:val="24"/>
          <w:szCs w:val="24"/>
        </w:rPr>
      </w:r>
    </w:p>
    <w:p>
      <w:pPr>
        <w:pStyle w:val="Normal"/>
        <w:spacing w:lineRule="auto" w:line="276" w:before="0" w:after="0"/>
        <w:jc w:val="center"/>
        <w:rPr/>
      </w:pPr>
      <w:r>
        <w:rPr>
          <w:rFonts w:ascii="Times New Roman" w:hAnsi="Times New Roman"/>
          <w:b/>
          <w:bCs/>
          <w:sz w:val="24"/>
          <w:szCs w:val="24"/>
        </w:rPr>
        <w:t>Quadro 7 -</w:t>
      </w:r>
      <w:r>
        <w:rPr>
          <w:rFonts w:ascii="Times New Roman" w:hAnsi="Times New Roman"/>
          <w:sz w:val="24"/>
          <w:szCs w:val="24"/>
        </w:rPr>
        <w:t xml:space="preserve"> Estudos de toxicidade descritos para espécies de aroeiras.</w:t>
      </w:r>
    </w:p>
    <w:tbl>
      <w:tblPr>
        <w:tblW w:w="9057" w:type="dxa"/>
        <w:jc w:val="left"/>
        <w:tblInd w:w="18" w:type="dxa"/>
        <w:tblLayout w:type="fixed"/>
        <w:tblCellMar>
          <w:top w:w="28" w:type="dxa"/>
          <w:left w:w="28" w:type="dxa"/>
          <w:bottom w:w="28" w:type="dxa"/>
          <w:right w:w="28" w:type="dxa"/>
        </w:tblCellMar>
      </w:tblPr>
      <w:tblGrid>
        <w:gridCol w:w="1814"/>
        <w:gridCol w:w="1633"/>
        <w:gridCol w:w="1717"/>
        <w:gridCol w:w="2433"/>
        <w:gridCol w:w="1460"/>
      </w:tblGrid>
      <w:tr>
        <w:trPr>
          <w:tblHeader w:val="true"/>
        </w:trPr>
        <w:tc>
          <w:tcPr>
            <w:tcW w:w="1814" w:type="dxa"/>
            <w:tcBorders/>
            <w:vAlign w:val="center"/>
          </w:tcPr>
          <w:p>
            <w:pPr>
              <w:pStyle w:val="Ttulodetabela"/>
              <w:widowControl w:val="false"/>
              <w:spacing w:lineRule="auto" w:line="276" w:before="0" w:after="200"/>
              <w:rPr/>
            </w:pPr>
            <w:r>
              <w:rPr>
                <w:rFonts w:ascii="Times New Roman" w:hAnsi="Times New Roman"/>
                <w:sz w:val="20"/>
                <w:szCs w:val="20"/>
              </w:rPr>
              <w:t>Espécie</w:t>
            </w:r>
          </w:p>
        </w:tc>
        <w:tc>
          <w:tcPr>
            <w:tcW w:w="1633" w:type="dxa"/>
            <w:tcBorders/>
            <w:vAlign w:val="center"/>
          </w:tcPr>
          <w:p>
            <w:pPr>
              <w:pStyle w:val="Ttulodetabela"/>
              <w:widowControl w:val="false"/>
              <w:spacing w:lineRule="auto" w:line="276" w:before="0" w:after="200"/>
              <w:rPr/>
            </w:pPr>
            <w:r>
              <w:rPr>
                <w:rFonts w:ascii="Times New Roman" w:hAnsi="Times New Roman"/>
                <w:sz w:val="20"/>
                <w:szCs w:val="20"/>
              </w:rPr>
              <w:t>Parte / extrato avaliado</w:t>
            </w:r>
          </w:p>
        </w:tc>
        <w:tc>
          <w:tcPr>
            <w:tcW w:w="1717" w:type="dxa"/>
            <w:tcBorders/>
            <w:vAlign w:val="center"/>
          </w:tcPr>
          <w:p>
            <w:pPr>
              <w:pStyle w:val="Ttulodetabela"/>
              <w:widowControl w:val="false"/>
              <w:spacing w:lineRule="auto" w:line="276" w:before="0" w:after="200"/>
              <w:rPr/>
            </w:pPr>
            <w:r>
              <w:rPr>
                <w:rFonts w:ascii="Times New Roman" w:hAnsi="Times New Roman"/>
                <w:sz w:val="20"/>
                <w:szCs w:val="20"/>
              </w:rPr>
              <w:t>Modelo experimental</w:t>
            </w:r>
          </w:p>
        </w:tc>
        <w:tc>
          <w:tcPr>
            <w:tcW w:w="2433" w:type="dxa"/>
            <w:tcBorders/>
            <w:vAlign w:val="center"/>
          </w:tcPr>
          <w:p>
            <w:pPr>
              <w:pStyle w:val="Ttulodetabela"/>
              <w:widowControl w:val="false"/>
              <w:spacing w:lineRule="auto" w:line="276" w:before="0" w:after="200"/>
              <w:rPr/>
            </w:pPr>
            <w:r>
              <w:rPr>
                <w:rFonts w:ascii="Times New Roman" w:hAnsi="Times New Roman"/>
                <w:sz w:val="20"/>
                <w:szCs w:val="20"/>
              </w:rPr>
              <w:t>Principais resultados</w:t>
            </w:r>
          </w:p>
        </w:tc>
        <w:tc>
          <w:tcPr>
            <w:tcW w:w="1460" w:type="dxa"/>
            <w:tcBorders/>
            <w:vAlign w:val="center"/>
          </w:tcPr>
          <w:p>
            <w:pPr>
              <w:pStyle w:val="Ttulodetabela"/>
              <w:widowControl w:val="false"/>
              <w:spacing w:lineRule="auto" w:line="276" w:before="0" w:after="200"/>
              <w:rPr/>
            </w:pPr>
            <w:r>
              <w:rPr>
                <w:rFonts w:ascii="Times New Roman" w:hAnsi="Times New Roman"/>
                <w:sz w:val="20"/>
                <w:szCs w:val="20"/>
              </w:rPr>
              <w:t>Referências</w:t>
            </w:r>
          </w:p>
        </w:tc>
      </w:tr>
      <w:tr>
        <w:trPr/>
        <w:tc>
          <w:tcPr>
            <w:tcW w:w="1814" w:type="dxa"/>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A. fraxinifolium</w:t>
            </w:r>
            <w:r>
              <w:rPr>
                <w:rFonts w:ascii="Times New Roman" w:hAnsi="Times New Roman"/>
                <w:sz w:val="20"/>
                <w:szCs w:val="20"/>
              </w:rPr>
              <w:t xml:space="preserve"> </w:t>
            </w:r>
          </w:p>
        </w:tc>
        <w:tc>
          <w:tcPr>
            <w:tcW w:w="1633" w:type="dxa"/>
            <w:tcBorders/>
            <w:vAlign w:val="center"/>
          </w:tcPr>
          <w:p>
            <w:pPr>
              <w:pStyle w:val="Contedodatabela"/>
              <w:widowControl w:val="false"/>
              <w:spacing w:lineRule="auto" w:line="276" w:before="0" w:after="200"/>
              <w:rPr/>
            </w:pPr>
            <w:r>
              <w:rPr>
                <w:rFonts w:ascii="Times New Roman" w:hAnsi="Times New Roman"/>
                <w:sz w:val="20"/>
                <w:szCs w:val="20"/>
              </w:rPr>
              <w:t>extrato da casca</w:t>
            </w:r>
          </w:p>
        </w:tc>
        <w:tc>
          <w:tcPr>
            <w:tcW w:w="1717" w:type="dxa"/>
            <w:tcBorders/>
            <w:vAlign w:val="center"/>
          </w:tcPr>
          <w:p>
            <w:pPr>
              <w:pStyle w:val="Contedodatabela"/>
              <w:widowControl w:val="false"/>
              <w:spacing w:lineRule="auto" w:line="276" w:before="0" w:after="200"/>
              <w:rPr/>
            </w:pPr>
            <w:r>
              <w:rPr>
                <w:rFonts w:ascii="Times New Roman" w:hAnsi="Times New Roman"/>
                <w:sz w:val="20"/>
                <w:szCs w:val="20"/>
              </w:rPr>
              <w:t>ensaios de toxicidade celular in vitro</w:t>
            </w:r>
          </w:p>
        </w:tc>
        <w:tc>
          <w:tcPr>
            <w:tcW w:w="2433" w:type="dxa"/>
            <w:tcBorders/>
            <w:vAlign w:val="center"/>
          </w:tcPr>
          <w:p>
            <w:pPr>
              <w:pStyle w:val="Contedodatabela"/>
              <w:widowControl w:val="false"/>
              <w:spacing w:lineRule="auto" w:line="276" w:before="0" w:after="200"/>
              <w:rPr/>
            </w:pPr>
            <w:r>
              <w:rPr>
                <w:rFonts w:ascii="Times New Roman" w:hAnsi="Times New Roman"/>
                <w:sz w:val="20"/>
                <w:szCs w:val="20"/>
              </w:rPr>
              <w:t>baixa toxicidade em concentrações terapêuticas</w:t>
            </w:r>
          </w:p>
        </w:tc>
        <w:tc>
          <w:tcPr>
            <w:tcW w:w="1460" w:type="dxa"/>
            <w:tcBorders/>
            <w:vAlign w:val="center"/>
          </w:tcPr>
          <w:p>
            <w:pPr>
              <w:pStyle w:val="Contedodatabela"/>
              <w:widowControl w:val="false"/>
              <w:spacing w:lineRule="auto" w:line="276" w:before="0" w:after="200"/>
              <w:rPr/>
            </w:pPr>
            <w:r>
              <w:rPr>
                <w:rFonts w:ascii="Times New Roman" w:hAnsi="Times New Roman"/>
                <w:sz w:val="20"/>
                <w:szCs w:val="20"/>
              </w:rPr>
              <w:t>Pauli et al., 2018</w:t>
            </w:r>
          </w:p>
        </w:tc>
      </w:tr>
      <w:tr>
        <w:trPr/>
        <w:tc>
          <w:tcPr>
            <w:tcW w:w="1814" w:type="dxa"/>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M. urundeuva</w:t>
            </w:r>
            <w:r>
              <w:rPr>
                <w:rFonts w:ascii="Times New Roman" w:hAnsi="Times New Roman"/>
                <w:sz w:val="20"/>
                <w:szCs w:val="20"/>
              </w:rPr>
              <w:t xml:space="preserve"> </w:t>
            </w:r>
          </w:p>
        </w:tc>
        <w:tc>
          <w:tcPr>
            <w:tcW w:w="1633" w:type="dxa"/>
            <w:tcBorders/>
            <w:vAlign w:val="center"/>
          </w:tcPr>
          <w:p>
            <w:pPr>
              <w:pStyle w:val="Contedodatabela"/>
              <w:widowControl w:val="false"/>
              <w:spacing w:lineRule="auto" w:line="276" w:before="0" w:after="200"/>
              <w:rPr/>
            </w:pPr>
            <w:r>
              <w:rPr>
                <w:rFonts w:ascii="Times New Roman" w:hAnsi="Times New Roman"/>
                <w:sz w:val="20"/>
                <w:szCs w:val="20"/>
              </w:rPr>
              <w:t>extrato da casca</w:t>
            </w:r>
          </w:p>
        </w:tc>
        <w:tc>
          <w:tcPr>
            <w:tcW w:w="1717" w:type="dxa"/>
            <w:tcBorders/>
            <w:vAlign w:val="center"/>
          </w:tcPr>
          <w:p>
            <w:pPr>
              <w:pStyle w:val="Contedodatabela"/>
              <w:widowControl w:val="false"/>
              <w:spacing w:lineRule="auto" w:line="276" w:before="0" w:after="200"/>
              <w:rPr/>
            </w:pPr>
            <w:r>
              <w:rPr>
                <w:rFonts w:ascii="Times New Roman" w:hAnsi="Times New Roman"/>
                <w:sz w:val="20"/>
                <w:szCs w:val="20"/>
              </w:rPr>
              <w:t>modelo experimental em animais</w:t>
            </w:r>
          </w:p>
        </w:tc>
        <w:tc>
          <w:tcPr>
            <w:tcW w:w="2433" w:type="dxa"/>
            <w:tcBorders/>
            <w:vAlign w:val="center"/>
          </w:tcPr>
          <w:p>
            <w:pPr>
              <w:pStyle w:val="Contedodatabela"/>
              <w:widowControl w:val="false"/>
              <w:spacing w:lineRule="auto" w:line="276" w:before="0" w:after="200"/>
              <w:rPr/>
            </w:pPr>
            <w:r>
              <w:rPr>
                <w:rFonts w:ascii="Times New Roman" w:hAnsi="Times New Roman"/>
                <w:sz w:val="20"/>
                <w:szCs w:val="20"/>
              </w:rPr>
              <w:t>ausência de toxicidade significativa nas doses testadas</w:t>
            </w:r>
          </w:p>
        </w:tc>
        <w:tc>
          <w:tcPr>
            <w:tcW w:w="1460" w:type="dxa"/>
            <w:tcBorders/>
            <w:vAlign w:val="center"/>
          </w:tcPr>
          <w:p>
            <w:pPr>
              <w:pStyle w:val="Contedodatabela"/>
              <w:widowControl w:val="false"/>
              <w:spacing w:lineRule="auto" w:line="276" w:before="0" w:after="200"/>
              <w:rPr/>
            </w:pPr>
            <w:r>
              <w:rPr>
                <w:rFonts w:ascii="Times New Roman" w:hAnsi="Times New Roman"/>
                <w:sz w:val="20"/>
                <w:szCs w:val="20"/>
              </w:rPr>
              <w:t>Cecílio et al., 2012</w:t>
            </w:r>
          </w:p>
        </w:tc>
      </w:tr>
      <w:tr>
        <w:trPr/>
        <w:tc>
          <w:tcPr>
            <w:tcW w:w="1814" w:type="dxa"/>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M. urundeuva</w:t>
            </w:r>
            <w:r>
              <w:rPr>
                <w:rFonts w:ascii="Times New Roman" w:hAnsi="Times New Roman"/>
                <w:sz w:val="20"/>
                <w:szCs w:val="20"/>
              </w:rPr>
              <w:t xml:space="preserve"> </w:t>
            </w:r>
          </w:p>
        </w:tc>
        <w:tc>
          <w:tcPr>
            <w:tcW w:w="1633" w:type="dxa"/>
            <w:tcBorders/>
            <w:vAlign w:val="center"/>
          </w:tcPr>
          <w:p>
            <w:pPr>
              <w:pStyle w:val="Contedodatabela"/>
              <w:widowControl w:val="false"/>
              <w:spacing w:lineRule="auto" w:line="276" w:before="0" w:after="200"/>
              <w:rPr/>
            </w:pPr>
            <w:r>
              <w:rPr>
                <w:rFonts w:ascii="Times New Roman" w:hAnsi="Times New Roman"/>
                <w:sz w:val="20"/>
                <w:szCs w:val="20"/>
              </w:rPr>
              <w:t>extrato hidroalcoólico da casca</w:t>
            </w:r>
          </w:p>
        </w:tc>
        <w:tc>
          <w:tcPr>
            <w:tcW w:w="1717" w:type="dxa"/>
            <w:tcBorders/>
            <w:vAlign w:val="center"/>
          </w:tcPr>
          <w:p>
            <w:pPr>
              <w:pStyle w:val="Contedodatabela"/>
              <w:widowControl w:val="false"/>
              <w:spacing w:lineRule="auto" w:line="276" w:before="0" w:after="200"/>
              <w:rPr/>
            </w:pPr>
            <w:r>
              <w:rPr>
                <w:rFonts w:ascii="Times New Roman" w:hAnsi="Times New Roman"/>
                <w:sz w:val="20"/>
                <w:szCs w:val="20"/>
              </w:rPr>
              <w:t>ensaio toxicológico em roedores</w:t>
            </w:r>
          </w:p>
        </w:tc>
        <w:tc>
          <w:tcPr>
            <w:tcW w:w="2433" w:type="dxa"/>
            <w:tcBorders/>
            <w:vAlign w:val="center"/>
          </w:tcPr>
          <w:p>
            <w:pPr>
              <w:pStyle w:val="Contedodatabela"/>
              <w:widowControl w:val="false"/>
              <w:spacing w:lineRule="auto" w:line="276" w:before="0" w:after="200"/>
              <w:rPr/>
            </w:pPr>
            <w:r>
              <w:rPr>
                <w:rFonts w:ascii="Times New Roman" w:hAnsi="Times New Roman"/>
                <w:sz w:val="20"/>
                <w:szCs w:val="20"/>
              </w:rPr>
              <w:t>baixa toxicidade aguda, indicando potencial segurança farmacológica</w:t>
            </w:r>
          </w:p>
        </w:tc>
        <w:tc>
          <w:tcPr>
            <w:tcW w:w="1460" w:type="dxa"/>
            <w:tcBorders/>
            <w:vAlign w:val="center"/>
          </w:tcPr>
          <w:p>
            <w:pPr>
              <w:pStyle w:val="Contedodatabela"/>
              <w:widowControl w:val="false"/>
              <w:spacing w:lineRule="auto" w:line="276" w:before="0" w:after="200"/>
              <w:rPr/>
            </w:pPr>
            <w:r>
              <w:rPr>
                <w:rFonts w:ascii="Times New Roman" w:hAnsi="Times New Roman"/>
                <w:sz w:val="20"/>
                <w:szCs w:val="20"/>
              </w:rPr>
              <w:t>Bieski et al., 2012</w:t>
            </w:r>
          </w:p>
        </w:tc>
      </w:tr>
      <w:tr>
        <w:trPr/>
        <w:tc>
          <w:tcPr>
            <w:tcW w:w="1814" w:type="dxa"/>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S. terebinthifolius</w:t>
            </w:r>
            <w:r>
              <w:rPr>
                <w:rFonts w:ascii="Times New Roman" w:hAnsi="Times New Roman"/>
                <w:sz w:val="20"/>
                <w:szCs w:val="20"/>
              </w:rPr>
              <w:t xml:space="preserve"> .</w:t>
            </w:r>
          </w:p>
        </w:tc>
        <w:tc>
          <w:tcPr>
            <w:tcW w:w="1633" w:type="dxa"/>
            <w:tcBorders/>
            <w:vAlign w:val="center"/>
          </w:tcPr>
          <w:p>
            <w:pPr>
              <w:pStyle w:val="Contedodatabela"/>
              <w:widowControl w:val="false"/>
              <w:spacing w:lineRule="auto" w:line="276" w:before="0" w:after="200"/>
              <w:rPr/>
            </w:pPr>
            <w:r>
              <w:rPr>
                <w:rFonts w:ascii="Times New Roman" w:hAnsi="Times New Roman"/>
                <w:sz w:val="20"/>
                <w:szCs w:val="20"/>
              </w:rPr>
              <w:t>óleo essencial das folhas</w:t>
            </w:r>
          </w:p>
        </w:tc>
        <w:tc>
          <w:tcPr>
            <w:tcW w:w="1717" w:type="dxa"/>
            <w:tcBorders/>
            <w:vAlign w:val="center"/>
          </w:tcPr>
          <w:p>
            <w:pPr>
              <w:pStyle w:val="Contedodatabela"/>
              <w:widowControl w:val="false"/>
              <w:spacing w:lineRule="auto" w:line="276" w:before="0" w:after="200"/>
              <w:rPr/>
            </w:pPr>
            <w:r>
              <w:rPr>
                <w:rFonts w:ascii="Times New Roman" w:hAnsi="Times New Roman"/>
                <w:sz w:val="20"/>
                <w:szCs w:val="20"/>
              </w:rPr>
              <w:t>ensaios toxicológicos in vitro</w:t>
            </w:r>
          </w:p>
        </w:tc>
        <w:tc>
          <w:tcPr>
            <w:tcW w:w="2433" w:type="dxa"/>
            <w:tcBorders/>
            <w:vAlign w:val="center"/>
          </w:tcPr>
          <w:p>
            <w:pPr>
              <w:pStyle w:val="Contedodatabela"/>
              <w:widowControl w:val="false"/>
              <w:spacing w:lineRule="auto" w:line="276" w:before="0" w:after="200"/>
              <w:rPr/>
            </w:pPr>
            <w:r>
              <w:rPr>
                <w:rFonts w:ascii="Times New Roman" w:hAnsi="Times New Roman"/>
                <w:sz w:val="20"/>
                <w:szCs w:val="20"/>
              </w:rPr>
              <w:t>atividade biológica com baixa toxicidade celular em concentrações moderadas</w:t>
            </w:r>
          </w:p>
        </w:tc>
        <w:tc>
          <w:tcPr>
            <w:tcW w:w="1460" w:type="dxa"/>
            <w:tcBorders/>
            <w:vAlign w:val="center"/>
          </w:tcPr>
          <w:p>
            <w:pPr>
              <w:pStyle w:val="Contedodatabela"/>
              <w:widowControl w:val="false"/>
              <w:spacing w:lineRule="auto" w:line="276" w:before="0" w:after="200"/>
              <w:rPr/>
            </w:pPr>
            <w:r>
              <w:rPr>
                <w:rFonts w:ascii="Times New Roman" w:hAnsi="Times New Roman"/>
                <w:sz w:val="20"/>
                <w:szCs w:val="20"/>
              </w:rPr>
              <w:t>Nascimento; Morais, 2017</w:t>
            </w:r>
          </w:p>
        </w:tc>
      </w:tr>
      <w:tr>
        <w:trPr/>
        <w:tc>
          <w:tcPr>
            <w:tcW w:w="1814" w:type="dxa"/>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S. terebinthifolius</w:t>
            </w:r>
            <w:r>
              <w:rPr>
                <w:rFonts w:ascii="Times New Roman" w:hAnsi="Times New Roman"/>
                <w:sz w:val="20"/>
                <w:szCs w:val="20"/>
              </w:rPr>
              <w:t xml:space="preserve"> </w:t>
            </w:r>
          </w:p>
        </w:tc>
        <w:tc>
          <w:tcPr>
            <w:tcW w:w="1633" w:type="dxa"/>
            <w:tcBorders/>
            <w:vAlign w:val="center"/>
          </w:tcPr>
          <w:p>
            <w:pPr>
              <w:pStyle w:val="Contedodatabela"/>
              <w:widowControl w:val="false"/>
              <w:spacing w:lineRule="auto" w:line="276" w:before="0" w:after="200"/>
              <w:rPr/>
            </w:pPr>
            <w:r>
              <w:rPr>
                <w:rFonts w:ascii="Times New Roman" w:hAnsi="Times New Roman"/>
                <w:sz w:val="20"/>
                <w:szCs w:val="20"/>
              </w:rPr>
              <w:t>extratos vegetais</w:t>
            </w:r>
          </w:p>
        </w:tc>
        <w:tc>
          <w:tcPr>
            <w:tcW w:w="1717" w:type="dxa"/>
            <w:tcBorders/>
            <w:vAlign w:val="center"/>
          </w:tcPr>
          <w:p>
            <w:pPr>
              <w:pStyle w:val="Contedodatabela"/>
              <w:widowControl w:val="false"/>
              <w:spacing w:lineRule="auto" w:line="276" w:before="0" w:after="200"/>
              <w:rPr/>
            </w:pPr>
            <w:r>
              <w:rPr>
                <w:rFonts w:ascii="Times New Roman" w:hAnsi="Times New Roman"/>
                <w:sz w:val="20"/>
                <w:szCs w:val="20"/>
              </w:rPr>
              <w:t>testes de citotoxicidade</w:t>
            </w:r>
          </w:p>
        </w:tc>
        <w:tc>
          <w:tcPr>
            <w:tcW w:w="2433" w:type="dxa"/>
            <w:tcBorders/>
            <w:vAlign w:val="center"/>
          </w:tcPr>
          <w:p>
            <w:pPr>
              <w:pStyle w:val="Contedodatabela"/>
              <w:widowControl w:val="false"/>
              <w:spacing w:lineRule="auto" w:line="276" w:before="0" w:after="200"/>
              <w:rPr/>
            </w:pPr>
            <w:r>
              <w:rPr>
                <w:rFonts w:ascii="Times New Roman" w:hAnsi="Times New Roman"/>
                <w:sz w:val="20"/>
                <w:szCs w:val="20"/>
              </w:rPr>
              <w:t>efeitos citotóxicos apenas em concentrações elevadas</w:t>
            </w:r>
          </w:p>
        </w:tc>
        <w:tc>
          <w:tcPr>
            <w:tcW w:w="1460" w:type="dxa"/>
            <w:tcBorders/>
            <w:vAlign w:val="center"/>
          </w:tcPr>
          <w:p>
            <w:pPr>
              <w:pStyle w:val="Contedodatabela"/>
              <w:widowControl w:val="false"/>
              <w:spacing w:lineRule="auto" w:line="276" w:before="0" w:after="200"/>
              <w:rPr/>
            </w:pPr>
            <w:r>
              <w:rPr>
                <w:rFonts w:ascii="Times New Roman" w:hAnsi="Times New Roman"/>
                <w:sz w:val="20"/>
                <w:szCs w:val="20"/>
              </w:rPr>
              <w:t>Bezerra et al., 2022</w:t>
            </w:r>
          </w:p>
        </w:tc>
      </w:tr>
    </w:tbl>
    <w:p>
      <w:pPr>
        <w:pStyle w:val="Normal"/>
        <w:spacing w:lineRule="auto" w:line="276" w:before="0" w:after="0"/>
        <w:ind w:hanging="0"/>
        <w:jc w:val="center"/>
        <w:rPr/>
      </w:pPr>
      <w:r>
        <w:rPr>
          <w:rFonts w:ascii="Times New Roman" w:hAnsi="Times New Roman"/>
          <w:b/>
          <w:bCs/>
          <w:color w:val="000000" w:themeColor="text1"/>
          <w:sz w:val="18"/>
          <w:szCs w:val="18"/>
        </w:rPr>
        <w:t xml:space="preserve">Fonte: </w:t>
      </w:r>
      <w:r>
        <w:rPr>
          <w:rFonts w:ascii="Times New Roman" w:hAnsi="Times New Roman"/>
          <w:b w:val="false"/>
          <w:bCs w:val="false"/>
          <w:color w:val="000000" w:themeColor="text1"/>
          <w:sz w:val="18"/>
          <w:szCs w:val="18"/>
        </w:rPr>
        <w:t>Elaboração dos autores, a partir de dados compilados da literatura etnobotânica.</w:t>
      </w:r>
    </w:p>
    <w:p>
      <w:pPr>
        <w:pStyle w:val="Normal"/>
        <w:spacing w:lineRule="auto" w:line="276" w:before="0" w:after="0"/>
        <w:jc w:val="both"/>
        <w:rPr>
          <w:rFonts w:ascii="Times New Roman" w:hAnsi="Times New Roman"/>
          <w:b/>
          <w:color w:val="000000" w:themeColor="text1"/>
          <w:sz w:val="24"/>
          <w:szCs w:val="24"/>
        </w:rPr>
      </w:pPr>
      <w:r>
        <w:rPr>
          <w:rFonts w:ascii="Times New Roman" w:hAnsi="Times New Roman"/>
          <w:b/>
          <w:color w:val="000000" w:themeColor="text1"/>
          <w:sz w:val="24"/>
          <w:szCs w:val="24"/>
        </w:rPr>
      </w:r>
    </w:p>
    <w:p>
      <w:pPr>
        <w:pStyle w:val="Normal"/>
        <w:spacing w:lineRule="auto" w:line="276" w:before="0" w:after="0"/>
        <w:jc w:val="both"/>
        <w:rPr/>
      </w:pPr>
      <w:r>
        <w:rPr/>
        <w:tab/>
      </w:r>
      <w:r>
        <w:rPr>
          <w:rFonts w:ascii="Times New Roman" w:hAnsi="Times New Roman"/>
          <w:sz w:val="24"/>
          <w:szCs w:val="24"/>
        </w:rPr>
        <w:t xml:space="preserve">De maneira geral, os estudos toxicológicos disponíveis sugerem que as espécies analisadas apresentam baixo potencial tóxico em condições experimentais controladas, especialmente quando utilizadas em doses compatíveis com os usos tradicionais. Entretanto, alguns estudos indicam que concentrações elevadas de determinados extratos podem apresentar efeitos citotóxicos, o que reforça a importância de investigações adicionais voltadas à avaliação da segurança e padronização de extratos vegetais. Dessa forma, embora as aroeiras apresentem potencial terapêutico relevante, estudos toxicológicos mais aprofundados ainda são necessários para garantir o uso seguro dessas espécies no desenvolvimento de fitoterápicos. </w:t>
      </w:r>
    </w:p>
    <w:p>
      <w:pPr>
        <w:pStyle w:val="Normal"/>
        <w:spacing w:lineRule="auto" w:line="276" w:before="0" w:after="0"/>
        <w:jc w:val="both"/>
        <w:rPr/>
      </w:pPr>
      <w:r>
        <w:rPr>
          <w:rFonts w:ascii="Times New Roman" w:hAnsi="Times New Roman"/>
          <w:sz w:val="24"/>
          <w:szCs w:val="24"/>
        </w:rPr>
        <w:tab/>
        <w:t xml:space="preserve">Além de sua relevância etnobotânica e farmacológica, algumas espécies de aroeira também apresentam potencial de aplicação no desenvolvimento de produtos fitoterápicos. Enquanto determinadas espécies ainda permanecem predominantemente associadas ao uso tradicional ou a estudos experimentais, outras já possuem produtos comercializados no mercado farmacêutico. A comparação entre as espécies analisadas quanto à presença em produtos fitoterápicos e suas principais aplicações terapêuticas encontra-se apresentada no </w:t>
      </w:r>
      <w:r>
        <w:rPr>
          <w:rStyle w:val="Strong"/>
          <w:rFonts w:ascii="Times New Roman" w:hAnsi="Times New Roman"/>
          <w:b w:val="false"/>
          <w:bCs w:val="false"/>
          <w:sz w:val="24"/>
          <w:szCs w:val="24"/>
        </w:rPr>
        <w:t>Quadro 8</w:t>
      </w:r>
      <w:r>
        <w:rPr>
          <w:rFonts w:ascii="Times New Roman" w:hAnsi="Times New Roman"/>
          <w:b w:val="false"/>
          <w:bCs w:val="false"/>
          <w:sz w:val="24"/>
          <w:szCs w:val="24"/>
        </w:rPr>
        <w:t>.</w:t>
      </w:r>
    </w:p>
    <w:p>
      <w:pPr>
        <w:pStyle w:val="Normal"/>
        <w:spacing w:lineRule="auto" w:line="276" w:before="0" w:after="0"/>
        <w:jc w:val="both"/>
        <w:rPr/>
      </w:pPr>
      <w:r>
        <w:rPr>
          <w:rFonts w:ascii="Times New Roman" w:hAnsi="Times New Roman"/>
          <w:sz w:val="24"/>
          <w:szCs w:val="24"/>
        </w:rPr>
        <w:t xml:space="preserve"> </w:t>
      </w:r>
    </w:p>
    <w:p>
      <w:pPr>
        <w:pStyle w:val="Normal"/>
        <w:spacing w:lineRule="auto" w:line="276" w:before="0" w:after="0"/>
        <w:jc w:val="center"/>
        <w:rPr/>
      </w:pPr>
      <w:r>
        <w:rPr>
          <w:rFonts w:ascii="Times New Roman" w:hAnsi="Times New Roman"/>
          <w:b/>
          <w:bCs/>
          <w:sz w:val="24"/>
          <w:szCs w:val="24"/>
        </w:rPr>
        <w:t xml:space="preserve">Quadro 8 - </w:t>
      </w:r>
      <w:r>
        <w:rPr>
          <w:rFonts w:ascii="Times New Roman" w:hAnsi="Times New Roman"/>
          <w:sz w:val="24"/>
          <w:szCs w:val="24"/>
        </w:rPr>
        <w:t>Comparação entre espécies de aroeira no mercado fitoterápico.</w:t>
      </w:r>
    </w:p>
    <w:tbl>
      <w:tblPr>
        <w:tblW w:w="9070" w:type="dxa"/>
        <w:jc w:val="left"/>
        <w:tblInd w:w="0" w:type="dxa"/>
        <w:tblLayout w:type="fixed"/>
        <w:tblCellMar>
          <w:top w:w="28" w:type="dxa"/>
          <w:left w:w="28" w:type="dxa"/>
          <w:bottom w:w="28" w:type="dxa"/>
          <w:right w:w="28" w:type="dxa"/>
        </w:tblCellMar>
      </w:tblPr>
      <w:tblGrid>
        <w:gridCol w:w="1492"/>
        <w:gridCol w:w="1433"/>
        <w:gridCol w:w="1463"/>
        <w:gridCol w:w="1719"/>
        <w:gridCol w:w="1704"/>
        <w:gridCol w:w="1258"/>
      </w:tblGrid>
      <w:tr>
        <w:trPr>
          <w:tblHeader w:val="true"/>
        </w:trPr>
        <w:tc>
          <w:tcPr>
            <w:tcW w:w="1492" w:type="dxa"/>
            <w:tcBorders/>
            <w:vAlign w:val="center"/>
          </w:tcPr>
          <w:p>
            <w:pPr>
              <w:pStyle w:val="Ttulodetabela"/>
              <w:widowControl w:val="false"/>
              <w:spacing w:lineRule="auto" w:line="276" w:before="0" w:after="200"/>
              <w:rPr/>
            </w:pPr>
            <w:r>
              <w:rPr>
                <w:rFonts w:ascii="Times New Roman" w:hAnsi="Times New Roman"/>
                <w:sz w:val="20"/>
                <w:szCs w:val="20"/>
              </w:rPr>
              <w:t>Espécie</w:t>
            </w:r>
          </w:p>
        </w:tc>
        <w:tc>
          <w:tcPr>
            <w:tcW w:w="1433" w:type="dxa"/>
            <w:tcBorders/>
            <w:vAlign w:val="center"/>
          </w:tcPr>
          <w:p>
            <w:pPr>
              <w:pStyle w:val="Ttulodetabela"/>
              <w:widowControl w:val="false"/>
              <w:spacing w:lineRule="auto" w:line="276" w:before="0" w:after="200"/>
              <w:rPr/>
            </w:pPr>
            <w:r>
              <w:rPr>
                <w:rFonts w:ascii="Times New Roman" w:hAnsi="Times New Roman"/>
                <w:sz w:val="20"/>
                <w:szCs w:val="20"/>
              </w:rPr>
              <w:t>Produtos fitoterápicos relatados</w:t>
            </w:r>
          </w:p>
        </w:tc>
        <w:tc>
          <w:tcPr>
            <w:tcW w:w="1463" w:type="dxa"/>
            <w:tcBorders/>
            <w:vAlign w:val="center"/>
          </w:tcPr>
          <w:p>
            <w:pPr>
              <w:pStyle w:val="Ttulodetabela"/>
              <w:widowControl w:val="false"/>
              <w:spacing w:lineRule="auto" w:line="276" w:before="0" w:after="200"/>
              <w:rPr/>
            </w:pPr>
            <w:r>
              <w:rPr>
                <w:rFonts w:ascii="Times New Roman" w:hAnsi="Times New Roman"/>
                <w:sz w:val="20"/>
                <w:szCs w:val="20"/>
              </w:rPr>
              <w:t>Forma farmacêutica</w:t>
            </w:r>
          </w:p>
        </w:tc>
        <w:tc>
          <w:tcPr>
            <w:tcW w:w="1719" w:type="dxa"/>
            <w:tcBorders/>
            <w:vAlign w:val="center"/>
          </w:tcPr>
          <w:p>
            <w:pPr>
              <w:pStyle w:val="Ttulodetabela"/>
              <w:widowControl w:val="false"/>
              <w:spacing w:lineRule="auto" w:line="276" w:before="0" w:after="200"/>
              <w:rPr/>
            </w:pPr>
            <w:r>
              <w:rPr>
                <w:rFonts w:ascii="Times New Roman" w:hAnsi="Times New Roman"/>
                <w:sz w:val="20"/>
                <w:szCs w:val="20"/>
              </w:rPr>
              <w:t>Principais indicações terapêuticas</w:t>
            </w:r>
          </w:p>
        </w:tc>
        <w:tc>
          <w:tcPr>
            <w:tcW w:w="1704" w:type="dxa"/>
            <w:tcBorders/>
            <w:vAlign w:val="center"/>
          </w:tcPr>
          <w:p>
            <w:pPr>
              <w:pStyle w:val="Ttulodetabela"/>
              <w:widowControl w:val="false"/>
              <w:spacing w:lineRule="auto" w:line="276" w:before="0" w:after="200"/>
              <w:rPr/>
            </w:pPr>
            <w:r>
              <w:rPr>
                <w:rFonts w:ascii="Times New Roman" w:hAnsi="Times New Roman"/>
                <w:sz w:val="20"/>
                <w:szCs w:val="20"/>
              </w:rPr>
              <w:t>Situação no mercado</w:t>
            </w:r>
          </w:p>
        </w:tc>
        <w:tc>
          <w:tcPr>
            <w:tcW w:w="1258" w:type="dxa"/>
            <w:tcBorders/>
            <w:vAlign w:val="center"/>
          </w:tcPr>
          <w:p>
            <w:pPr>
              <w:pStyle w:val="Ttulodetabela"/>
              <w:widowControl w:val="false"/>
              <w:spacing w:lineRule="auto" w:line="276" w:before="0" w:after="200"/>
              <w:rPr/>
            </w:pPr>
            <w:r>
              <w:rPr>
                <w:rFonts w:ascii="Times New Roman" w:hAnsi="Times New Roman"/>
                <w:sz w:val="20"/>
                <w:szCs w:val="20"/>
              </w:rPr>
              <w:t>Referências</w:t>
            </w:r>
          </w:p>
        </w:tc>
      </w:tr>
      <w:tr>
        <w:trPr/>
        <w:tc>
          <w:tcPr>
            <w:tcW w:w="1492" w:type="dxa"/>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Astronium fraxinifolium</w:t>
            </w:r>
            <w:r>
              <w:rPr>
                <w:rFonts w:ascii="Times New Roman" w:hAnsi="Times New Roman"/>
                <w:sz w:val="20"/>
                <w:szCs w:val="20"/>
              </w:rPr>
              <w:t xml:space="preserve"> Schott</w:t>
            </w:r>
          </w:p>
        </w:tc>
        <w:tc>
          <w:tcPr>
            <w:tcW w:w="1433" w:type="dxa"/>
            <w:tcBorders/>
            <w:vAlign w:val="center"/>
          </w:tcPr>
          <w:p>
            <w:pPr>
              <w:pStyle w:val="Contedodatabela"/>
              <w:widowControl w:val="false"/>
              <w:spacing w:lineRule="auto" w:line="276" w:before="0" w:after="200"/>
              <w:rPr/>
            </w:pPr>
            <w:r>
              <w:rPr>
                <w:rFonts w:ascii="Times New Roman" w:hAnsi="Times New Roman"/>
                <w:sz w:val="20"/>
                <w:szCs w:val="20"/>
              </w:rPr>
              <w:t>extratos vegetais experimentais</w:t>
            </w:r>
          </w:p>
        </w:tc>
        <w:tc>
          <w:tcPr>
            <w:tcW w:w="1463" w:type="dxa"/>
            <w:tcBorders/>
            <w:vAlign w:val="center"/>
          </w:tcPr>
          <w:p>
            <w:pPr>
              <w:pStyle w:val="Contedodatabela"/>
              <w:widowControl w:val="false"/>
              <w:spacing w:lineRule="auto" w:line="276" w:before="0" w:after="200"/>
              <w:rPr/>
            </w:pPr>
            <w:r>
              <w:rPr>
                <w:rFonts w:ascii="Times New Roman" w:hAnsi="Times New Roman"/>
                <w:sz w:val="20"/>
                <w:szCs w:val="20"/>
              </w:rPr>
              <w:t>extrato hidroalcoólico, preparações tradicionais</w:t>
            </w:r>
          </w:p>
        </w:tc>
        <w:tc>
          <w:tcPr>
            <w:tcW w:w="1719" w:type="dxa"/>
            <w:tcBorders/>
            <w:vAlign w:val="center"/>
          </w:tcPr>
          <w:p>
            <w:pPr>
              <w:pStyle w:val="Contedodatabela"/>
              <w:widowControl w:val="false"/>
              <w:spacing w:lineRule="auto" w:line="276" w:before="0" w:after="200"/>
              <w:rPr/>
            </w:pPr>
            <w:r>
              <w:rPr>
                <w:rFonts w:ascii="Times New Roman" w:hAnsi="Times New Roman"/>
                <w:sz w:val="20"/>
                <w:szCs w:val="20"/>
              </w:rPr>
              <w:t>anti-inflamatório, antimicrobiano</w:t>
            </w:r>
          </w:p>
        </w:tc>
        <w:tc>
          <w:tcPr>
            <w:tcW w:w="1704" w:type="dxa"/>
            <w:tcBorders/>
            <w:vAlign w:val="center"/>
          </w:tcPr>
          <w:p>
            <w:pPr>
              <w:pStyle w:val="Contedodatabela"/>
              <w:widowControl w:val="false"/>
              <w:spacing w:lineRule="auto" w:line="276" w:before="0" w:after="200"/>
              <w:rPr/>
            </w:pPr>
            <w:r>
              <w:rPr>
                <w:rFonts w:ascii="Times New Roman" w:hAnsi="Times New Roman"/>
                <w:sz w:val="20"/>
                <w:szCs w:val="20"/>
              </w:rPr>
              <w:t>uso tradicional e estudos experimentais</w:t>
            </w:r>
          </w:p>
        </w:tc>
        <w:tc>
          <w:tcPr>
            <w:tcW w:w="1258" w:type="dxa"/>
            <w:tcBorders/>
            <w:vAlign w:val="center"/>
          </w:tcPr>
          <w:p>
            <w:pPr>
              <w:pStyle w:val="Contedodatabela"/>
              <w:widowControl w:val="false"/>
              <w:spacing w:lineRule="auto" w:line="276" w:before="0" w:after="200"/>
              <w:rPr/>
            </w:pPr>
            <w:r>
              <w:rPr>
                <w:rFonts w:ascii="Times New Roman" w:hAnsi="Times New Roman"/>
                <w:sz w:val="20"/>
                <w:szCs w:val="20"/>
              </w:rPr>
              <w:t>Pauli et al., 2018; Braga et al., 2019</w:t>
            </w:r>
          </w:p>
        </w:tc>
      </w:tr>
      <w:tr>
        <w:trPr/>
        <w:tc>
          <w:tcPr>
            <w:tcW w:w="1492" w:type="dxa"/>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Myracrodruon urundeuva</w:t>
            </w:r>
            <w:r>
              <w:rPr>
                <w:rFonts w:ascii="Times New Roman" w:hAnsi="Times New Roman"/>
                <w:sz w:val="20"/>
                <w:szCs w:val="20"/>
              </w:rPr>
              <w:t xml:space="preserve"> M. Allemão</w:t>
            </w:r>
          </w:p>
        </w:tc>
        <w:tc>
          <w:tcPr>
            <w:tcW w:w="1433" w:type="dxa"/>
            <w:tcBorders/>
            <w:vAlign w:val="center"/>
          </w:tcPr>
          <w:p>
            <w:pPr>
              <w:pStyle w:val="Contedodatabela"/>
              <w:widowControl w:val="false"/>
              <w:spacing w:lineRule="auto" w:line="276" w:before="0" w:after="200"/>
              <w:rPr/>
            </w:pPr>
            <w:r>
              <w:rPr>
                <w:rFonts w:ascii="Times New Roman" w:hAnsi="Times New Roman"/>
                <w:sz w:val="20"/>
                <w:szCs w:val="20"/>
              </w:rPr>
              <w:t>extratos vegetais e preparações fitoterápicas tradicionais</w:t>
            </w:r>
          </w:p>
        </w:tc>
        <w:tc>
          <w:tcPr>
            <w:tcW w:w="1463" w:type="dxa"/>
            <w:tcBorders/>
            <w:vAlign w:val="center"/>
          </w:tcPr>
          <w:p>
            <w:pPr>
              <w:pStyle w:val="Contedodatabela"/>
              <w:widowControl w:val="false"/>
              <w:spacing w:lineRule="auto" w:line="276" w:before="0" w:after="200"/>
              <w:rPr/>
            </w:pPr>
            <w:r>
              <w:rPr>
                <w:rFonts w:ascii="Times New Roman" w:hAnsi="Times New Roman"/>
                <w:sz w:val="20"/>
                <w:szCs w:val="20"/>
              </w:rPr>
              <w:t>extratos, pomadas e preparações artesanais</w:t>
            </w:r>
          </w:p>
        </w:tc>
        <w:tc>
          <w:tcPr>
            <w:tcW w:w="1719" w:type="dxa"/>
            <w:tcBorders/>
            <w:vAlign w:val="center"/>
          </w:tcPr>
          <w:p>
            <w:pPr>
              <w:pStyle w:val="Contedodatabela"/>
              <w:widowControl w:val="false"/>
              <w:spacing w:lineRule="auto" w:line="276" w:before="0" w:after="200"/>
              <w:rPr/>
            </w:pPr>
            <w:r>
              <w:rPr>
                <w:rFonts w:ascii="Times New Roman" w:hAnsi="Times New Roman"/>
                <w:sz w:val="20"/>
                <w:szCs w:val="20"/>
              </w:rPr>
              <w:t>anti-inflamatório, cicatrizante, tratamento de infecções</w:t>
            </w:r>
          </w:p>
        </w:tc>
        <w:tc>
          <w:tcPr>
            <w:tcW w:w="1704" w:type="dxa"/>
            <w:tcBorders/>
            <w:vAlign w:val="center"/>
          </w:tcPr>
          <w:p>
            <w:pPr>
              <w:pStyle w:val="Contedodatabela"/>
              <w:widowControl w:val="false"/>
              <w:spacing w:lineRule="auto" w:line="276" w:before="0" w:after="200"/>
              <w:rPr/>
            </w:pPr>
            <w:r>
              <w:rPr>
                <w:rFonts w:ascii="Times New Roman" w:hAnsi="Times New Roman"/>
                <w:sz w:val="20"/>
                <w:szCs w:val="20"/>
              </w:rPr>
              <w:t>uso tradicional e potencial para desenvolvimento fitoterápico</w:t>
            </w:r>
          </w:p>
        </w:tc>
        <w:tc>
          <w:tcPr>
            <w:tcW w:w="1258" w:type="dxa"/>
            <w:tcBorders/>
            <w:vAlign w:val="center"/>
          </w:tcPr>
          <w:p>
            <w:pPr>
              <w:pStyle w:val="Contedodatabela"/>
              <w:widowControl w:val="false"/>
              <w:spacing w:lineRule="auto" w:line="276" w:before="0" w:after="200"/>
              <w:rPr/>
            </w:pPr>
            <w:r>
              <w:rPr>
                <w:rFonts w:ascii="Times New Roman" w:hAnsi="Times New Roman"/>
                <w:sz w:val="20"/>
                <w:szCs w:val="20"/>
              </w:rPr>
              <w:t>Cecílio et al., 2012; Ribeiro et al., 2017</w:t>
            </w:r>
          </w:p>
        </w:tc>
      </w:tr>
      <w:tr>
        <w:trPr/>
        <w:tc>
          <w:tcPr>
            <w:tcW w:w="1492" w:type="dxa"/>
            <w:tcBorders/>
            <w:vAlign w:val="center"/>
          </w:tcPr>
          <w:p>
            <w:pPr>
              <w:pStyle w:val="Contedodatabela"/>
              <w:widowControl w:val="false"/>
              <w:suppressLineNumbers/>
              <w:spacing w:lineRule="auto" w:line="276" w:before="0" w:after="200"/>
              <w:rPr/>
            </w:pPr>
            <w:r>
              <w:rPr>
                <w:rStyle w:val="Nfase"/>
                <w:rFonts w:ascii="Times New Roman" w:hAnsi="Times New Roman"/>
                <w:sz w:val="20"/>
                <w:szCs w:val="20"/>
              </w:rPr>
              <w:t>Schinus terebinthifolius</w:t>
            </w:r>
            <w:r>
              <w:rPr>
                <w:rFonts w:ascii="Times New Roman" w:hAnsi="Times New Roman"/>
                <w:sz w:val="20"/>
                <w:szCs w:val="20"/>
              </w:rPr>
              <w:t xml:space="preserve"> Raddi</w:t>
            </w:r>
          </w:p>
        </w:tc>
        <w:tc>
          <w:tcPr>
            <w:tcW w:w="1433" w:type="dxa"/>
            <w:tcBorders/>
            <w:vAlign w:val="center"/>
          </w:tcPr>
          <w:p>
            <w:pPr>
              <w:pStyle w:val="Contedodatabela"/>
              <w:widowControl w:val="false"/>
              <w:spacing w:lineRule="auto" w:line="276" w:before="0" w:after="200"/>
              <w:rPr/>
            </w:pPr>
            <w:r>
              <w:rPr>
                <w:rFonts w:ascii="Times New Roman" w:hAnsi="Times New Roman"/>
                <w:sz w:val="20"/>
                <w:szCs w:val="20"/>
              </w:rPr>
              <w:t>produtos fitoterápicos comerciais (ex.: Kronel®, Kios®)</w:t>
            </w:r>
          </w:p>
        </w:tc>
        <w:tc>
          <w:tcPr>
            <w:tcW w:w="1463" w:type="dxa"/>
            <w:tcBorders/>
            <w:vAlign w:val="center"/>
          </w:tcPr>
          <w:p>
            <w:pPr>
              <w:pStyle w:val="Contedodatabela"/>
              <w:widowControl w:val="false"/>
              <w:spacing w:lineRule="auto" w:line="276" w:before="0" w:after="200"/>
              <w:rPr/>
            </w:pPr>
            <w:r>
              <w:rPr>
                <w:rFonts w:ascii="Times New Roman" w:hAnsi="Times New Roman"/>
                <w:sz w:val="20"/>
                <w:szCs w:val="20"/>
              </w:rPr>
              <w:t>gel vaginal, comprimidos e extratos</w:t>
            </w:r>
          </w:p>
        </w:tc>
        <w:tc>
          <w:tcPr>
            <w:tcW w:w="1719" w:type="dxa"/>
            <w:tcBorders/>
            <w:vAlign w:val="center"/>
          </w:tcPr>
          <w:p>
            <w:pPr>
              <w:pStyle w:val="Contedodatabela"/>
              <w:widowControl w:val="false"/>
              <w:spacing w:lineRule="auto" w:line="276" w:before="0" w:after="200"/>
              <w:rPr/>
            </w:pPr>
            <w:r>
              <w:rPr>
                <w:rFonts w:ascii="Times New Roman" w:hAnsi="Times New Roman"/>
                <w:sz w:val="20"/>
                <w:szCs w:val="20"/>
              </w:rPr>
              <w:t>vaginites, gastrite, inflamações e infecções</w:t>
            </w:r>
          </w:p>
        </w:tc>
        <w:tc>
          <w:tcPr>
            <w:tcW w:w="1704" w:type="dxa"/>
            <w:tcBorders/>
            <w:vAlign w:val="center"/>
          </w:tcPr>
          <w:p>
            <w:pPr>
              <w:pStyle w:val="Contedodatabela"/>
              <w:widowControl w:val="false"/>
              <w:spacing w:lineRule="auto" w:line="276" w:before="0" w:after="200"/>
              <w:rPr/>
            </w:pPr>
            <w:r>
              <w:rPr>
                <w:rFonts w:ascii="Times New Roman" w:hAnsi="Times New Roman"/>
                <w:sz w:val="20"/>
                <w:szCs w:val="20"/>
              </w:rPr>
              <w:t>presença consolidada no mercado farmacêutico</w:t>
            </w:r>
          </w:p>
        </w:tc>
        <w:tc>
          <w:tcPr>
            <w:tcW w:w="1258" w:type="dxa"/>
            <w:tcBorders/>
            <w:vAlign w:val="center"/>
          </w:tcPr>
          <w:p>
            <w:pPr>
              <w:pStyle w:val="Contedodatabela"/>
              <w:widowControl w:val="false"/>
              <w:spacing w:lineRule="auto" w:line="276" w:before="0" w:after="200"/>
              <w:rPr/>
            </w:pPr>
            <w:r>
              <w:rPr>
                <w:rFonts w:ascii="Times New Roman" w:hAnsi="Times New Roman"/>
                <w:sz w:val="20"/>
                <w:szCs w:val="20"/>
              </w:rPr>
              <w:t>Nascimento; Morais, 2017; Gomes; Bandeira, 2012</w:t>
            </w:r>
          </w:p>
        </w:tc>
      </w:tr>
    </w:tbl>
    <w:p>
      <w:pPr>
        <w:pStyle w:val="Normal"/>
        <w:spacing w:lineRule="auto" w:line="276" w:before="0" w:after="0"/>
        <w:ind w:hanging="0"/>
        <w:jc w:val="center"/>
        <w:rPr/>
      </w:pPr>
      <w:r>
        <w:rPr>
          <w:rFonts w:ascii="Times New Roman" w:hAnsi="Times New Roman"/>
          <w:b/>
          <w:bCs/>
          <w:color w:val="000000" w:themeColor="text1"/>
          <w:sz w:val="18"/>
          <w:szCs w:val="18"/>
        </w:rPr>
        <w:t xml:space="preserve">Fonte: </w:t>
      </w:r>
      <w:r>
        <w:rPr>
          <w:rFonts w:ascii="Times New Roman" w:hAnsi="Times New Roman"/>
          <w:b w:val="false"/>
          <w:bCs w:val="false"/>
          <w:color w:val="000000" w:themeColor="text1"/>
          <w:sz w:val="18"/>
          <w:szCs w:val="18"/>
        </w:rPr>
        <w:t>Elaboração dos autores, a partir de dados compilados da literatura etnobotânica.</w:t>
      </w:r>
    </w:p>
    <w:p>
      <w:pPr>
        <w:pStyle w:val="Normal"/>
        <w:spacing w:lineRule="auto" w:line="276" w:before="0" w:after="0"/>
        <w:jc w:val="both"/>
        <w:rPr>
          <w:rFonts w:ascii="Times New Roman" w:hAnsi="Times New Roman"/>
          <w:sz w:val="24"/>
          <w:szCs w:val="24"/>
        </w:rPr>
      </w:pPr>
      <w:r>
        <w:rPr>
          <w:rFonts w:ascii="Times New Roman" w:hAnsi="Times New Roman"/>
          <w:sz w:val="24"/>
          <w:szCs w:val="24"/>
        </w:rPr>
      </w:r>
    </w:p>
    <w:p>
      <w:pPr>
        <w:pStyle w:val="Normal"/>
        <w:spacing w:lineRule="auto" w:line="276" w:before="0" w:after="0"/>
        <w:jc w:val="both"/>
        <w:rPr/>
      </w:pPr>
      <w:r>
        <w:rPr>
          <w:rFonts w:ascii="Times New Roman" w:hAnsi="Times New Roman"/>
          <w:sz w:val="24"/>
          <w:szCs w:val="24"/>
        </w:rPr>
        <w:tab/>
        <w:t xml:space="preserve">Observa-se que </w:t>
      </w:r>
      <w:r>
        <w:rPr>
          <w:rStyle w:val="Nfase"/>
          <w:rFonts w:ascii="Times New Roman" w:hAnsi="Times New Roman"/>
          <w:sz w:val="24"/>
          <w:szCs w:val="24"/>
        </w:rPr>
        <w:t>S. terebinthifolius</w:t>
      </w:r>
      <w:r>
        <w:rPr>
          <w:rFonts w:ascii="Times New Roman" w:hAnsi="Times New Roman"/>
          <w:sz w:val="24"/>
          <w:szCs w:val="24"/>
        </w:rPr>
        <w:t xml:space="preserve"> apresenta maior inserção no mercado fitoterápico quando comparada às demais espécies analisadas, com produtos já desenvolvidos e comercializados para o tratamento de infecções e inflamações. Por outro lado, espécies como </w:t>
      </w:r>
      <w:r>
        <w:rPr>
          <w:rStyle w:val="Nfase"/>
          <w:rFonts w:ascii="Times New Roman" w:hAnsi="Times New Roman"/>
          <w:sz w:val="24"/>
          <w:szCs w:val="24"/>
        </w:rPr>
        <w:t>M. urundeuva</w:t>
      </w:r>
      <w:r>
        <w:rPr>
          <w:rFonts w:ascii="Times New Roman" w:hAnsi="Times New Roman"/>
          <w:sz w:val="24"/>
          <w:szCs w:val="24"/>
        </w:rPr>
        <w:t xml:space="preserve"> e </w:t>
      </w:r>
      <w:r>
        <w:rPr>
          <w:rStyle w:val="Nfase"/>
          <w:rFonts w:ascii="Times New Roman" w:hAnsi="Times New Roman"/>
          <w:sz w:val="24"/>
          <w:szCs w:val="24"/>
        </w:rPr>
        <w:t>A. fraxinifolium</w:t>
      </w:r>
      <w:r>
        <w:rPr>
          <w:rFonts w:ascii="Times New Roman" w:hAnsi="Times New Roman"/>
          <w:sz w:val="24"/>
          <w:szCs w:val="24"/>
        </w:rPr>
        <w:t xml:space="preserve"> ainda apresentam maior predominância de uso tradicional e estudos experimentais, indicando potencial promissor para o desenvolvimento de novos fitoterápicos. Esses resultados evidenciam a importância da integração entre conhecimento tradicional, pesquisa científica e inovação tecnológica para ampliar o uso terapêutico dessas espécies (MACIEL et al., 2002). </w:t>
      </w:r>
    </w:p>
    <w:p>
      <w:pPr>
        <w:pStyle w:val="Normal"/>
        <w:spacing w:lineRule="auto" w:line="276" w:before="0" w:after="0"/>
        <w:jc w:val="both"/>
        <w:rPr>
          <w:rFonts w:ascii="Times New Roman" w:hAnsi="Times New Roman"/>
          <w:b/>
          <w:color w:val="000000" w:themeColor="text1"/>
          <w:sz w:val="24"/>
          <w:szCs w:val="24"/>
        </w:rPr>
      </w:pPr>
      <w:r>
        <w:rPr>
          <w:rFonts w:ascii="Times New Roman" w:hAnsi="Times New Roman"/>
          <w:b/>
          <w:color w:val="000000" w:themeColor="text1"/>
          <w:sz w:val="24"/>
          <w:szCs w:val="24"/>
        </w:rPr>
      </w:r>
    </w:p>
    <w:p>
      <w:pPr>
        <w:pStyle w:val="Normal"/>
        <w:spacing w:lineRule="auto" w:line="276" w:before="0" w:after="0"/>
        <w:jc w:val="both"/>
        <w:rPr/>
      </w:pPr>
      <w:r>
        <w:rPr>
          <w:rFonts w:ascii="Times New Roman" w:hAnsi="Times New Roman"/>
          <w:b/>
          <w:color w:val="000000" w:themeColor="text1"/>
          <w:sz w:val="24"/>
          <w:szCs w:val="24"/>
        </w:rPr>
        <w:t>CONCLUSÃO</w:t>
      </w:r>
    </w:p>
    <w:p>
      <w:pPr>
        <w:pStyle w:val="Normal"/>
        <w:spacing w:lineRule="auto" w:line="276" w:before="0" w:after="0"/>
        <w:jc w:val="both"/>
        <w:rPr/>
      </w:pPr>
      <w:r>
        <w:rPr>
          <w:rFonts w:ascii="Times New Roman" w:hAnsi="Times New Roman"/>
          <w:b w:val="false"/>
          <w:bCs w:val="false"/>
          <w:color w:val="000000" w:themeColor="text1"/>
          <w:sz w:val="24"/>
          <w:szCs w:val="24"/>
        </w:rPr>
        <w:tab/>
        <w:t xml:space="preserve">A análise da literatura científica evidencia que as espécies de aroeira </w:t>
      </w:r>
      <w:r>
        <w:rPr>
          <w:rFonts w:ascii="Times New Roman" w:hAnsi="Times New Roman"/>
          <w:b w:val="false"/>
          <w:bCs w:val="false"/>
          <w:i/>
          <w:iCs/>
          <w:color w:val="000000" w:themeColor="text1"/>
          <w:sz w:val="24"/>
          <w:szCs w:val="24"/>
        </w:rPr>
        <w:t>Astronium fraxinifolium</w:t>
      </w:r>
      <w:r>
        <w:rPr>
          <w:rFonts w:ascii="Times New Roman" w:hAnsi="Times New Roman"/>
          <w:b w:val="false"/>
          <w:bCs w:val="false"/>
          <w:color w:val="000000" w:themeColor="text1"/>
          <w:sz w:val="24"/>
          <w:szCs w:val="24"/>
        </w:rPr>
        <w:t xml:space="preserve">, </w:t>
      </w:r>
      <w:r>
        <w:rPr>
          <w:rFonts w:ascii="Times New Roman" w:hAnsi="Times New Roman"/>
          <w:b w:val="false"/>
          <w:bCs w:val="false"/>
          <w:i/>
          <w:iCs/>
          <w:color w:val="000000" w:themeColor="text1"/>
          <w:sz w:val="24"/>
          <w:szCs w:val="24"/>
        </w:rPr>
        <w:t>Myracrodruon urundeuva</w:t>
      </w:r>
      <w:r>
        <w:rPr>
          <w:rFonts w:ascii="Times New Roman" w:hAnsi="Times New Roman"/>
          <w:b w:val="false"/>
          <w:bCs w:val="false"/>
          <w:color w:val="000000" w:themeColor="text1"/>
          <w:sz w:val="24"/>
          <w:szCs w:val="24"/>
        </w:rPr>
        <w:t xml:space="preserve"> e </w:t>
      </w:r>
      <w:r>
        <w:rPr>
          <w:rFonts w:ascii="Times New Roman" w:hAnsi="Times New Roman"/>
          <w:b w:val="false"/>
          <w:bCs w:val="false"/>
          <w:i/>
          <w:iCs/>
          <w:color w:val="000000" w:themeColor="text1"/>
          <w:sz w:val="24"/>
          <w:szCs w:val="24"/>
        </w:rPr>
        <w:t>Schinus terebinthifolius</w:t>
      </w:r>
      <w:r>
        <w:rPr>
          <w:rFonts w:ascii="Times New Roman" w:hAnsi="Times New Roman"/>
          <w:b w:val="false"/>
          <w:bCs w:val="false"/>
          <w:color w:val="000000" w:themeColor="text1"/>
          <w:sz w:val="24"/>
          <w:szCs w:val="24"/>
        </w:rPr>
        <w:t xml:space="preserve"> apresentam elevada relevância etnobotânica no bioma Cerrado, sendo amplamente utilizadas na medicina tradicional brasileira no tratamento de processos inflamatórios, infecções geniturinárias, afecções respiratórias e distúrbios gastrointestinais. Estudos fitoquímicos demonstram que essas espécies apresentam diversidade de metabólitos secundários, destacando-se flavonoides, taninos, terpenos e compostos fenólicos, frequentemente associados a atividades antimicrobianas, antioxidantes e anti-inflamatórias.</w:t>
      </w:r>
    </w:p>
    <w:p>
      <w:pPr>
        <w:pStyle w:val="Normal"/>
        <w:spacing w:lineRule="auto" w:line="276" w:before="0" w:after="0"/>
        <w:jc w:val="both"/>
        <w:rPr/>
      </w:pPr>
      <w:r>
        <w:rPr>
          <w:rFonts w:ascii="Times New Roman" w:hAnsi="Times New Roman"/>
          <w:b w:val="false"/>
          <w:bCs w:val="false"/>
          <w:color w:val="000000" w:themeColor="text1"/>
          <w:sz w:val="24"/>
          <w:szCs w:val="24"/>
        </w:rPr>
        <w:tab/>
        <w:t>A convergência observada entre os usos tradicionais e as evidências farmacológicas descritas na literatura científica reforça o potencial terapêutico dessas espécies e evidencia sua relevância como fontes promissoras de compostos bioativos. Nesse contexto, as aroeiras do Cerrado apresentam elevado potencial para pesquisas em etnofarmacologia e bioprospecção, contribuindo para a identificação de novos agentes terapêuticos e para o desenvolvimento de fitoterápicos.</w:t>
        <w:br/>
        <w:tab/>
        <w:t>Além disso, os resultados ressaltam a importância da conservação da biodiversidade do Cerrado e da valorização do conhecimento tradicional associado ao uso de plantas medicinais. A ampliação de estudos fitoquímicos, farmacológicos e toxicológicos, aliada à investigação clínica e à padronização de extratos vegetais, poderá contribuir para o uso seguro e sustentável dessas espécies, bem como para o avanço de pesquisas voltadas à inovação em saúde e à valorização da biodiversidade brasileira.</w:t>
      </w:r>
    </w:p>
    <w:p>
      <w:pPr>
        <w:pStyle w:val="Normal"/>
        <w:spacing w:lineRule="auto" w:line="276" w:before="0" w:after="0"/>
        <w:jc w:val="both"/>
        <w:rPr>
          <w:b w:val="false"/>
          <w:bCs w:val="false"/>
        </w:rPr>
      </w:pPr>
      <w:r>
        <w:rPr>
          <w:b w:val="false"/>
          <w:bCs w:val="false"/>
        </w:rPr>
      </w:r>
    </w:p>
    <w:p>
      <w:pPr>
        <w:pStyle w:val="Normal"/>
        <w:spacing w:lineRule="auto" w:line="240" w:before="0" w:after="0"/>
        <w:jc w:val="both"/>
        <w:rPr>
          <w:rFonts w:ascii="Times New Roman" w:hAnsi="Times New Roman"/>
        </w:rPr>
      </w:pPr>
      <w:r>
        <w:rPr>
          <w:rFonts w:ascii="Times New Roman" w:hAnsi="Times New Roman"/>
          <w:b/>
          <w:color w:val="000000" w:themeColor="text1"/>
          <w:sz w:val="24"/>
          <w:szCs w:val="24"/>
        </w:rPr>
        <w:t>REFERÊNCIAS</w:t>
      </w:r>
    </w:p>
    <w:p>
      <w:pPr>
        <w:pStyle w:val="Normal"/>
        <w:spacing w:lineRule="auto" w:line="240" w:before="0" w:after="0"/>
        <w:jc w:val="both"/>
        <w:rPr>
          <w:rFonts w:ascii="Times New Roman" w:hAnsi="Times New Roman"/>
          <w:b/>
          <w:color w:val="000000" w:themeColor="text1"/>
          <w:sz w:val="24"/>
          <w:szCs w:val="24"/>
        </w:rPr>
      </w:pPr>
      <w:r>
        <w:rPr>
          <w:rFonts w:ascii="Times New Roman" w:hAnsi="Times New Roman"/>
          <w:b/>
          <w:color w:val="000000" w:themeColor="text1"/>
          <w:sz w:val="24"/>
          <w:szCs w:val="24"/>
        </w:rPr>
      </w:r>
    </w:p>
    <w:p>
      <w:pPr>
        <w:pStyle w:val="Corpodotexto"/>
        <w:spacing w:lineRule="auto" w:line="240" w:before="0" w:after="0"/>
        <w:jc w:val="left"/>
        <w:rPr>
          <w:rFonts w:ascii="Times New Roman" w:hAnsi="Times New Roman"/>
          <w:b/>
          <w:color w:val="000000" w:themeColor="text1"/>
          <w:sz w:val="24"/>
          <w:szCs w:val="24"/>
        </w:rPr>
      </w:pPr>
      <w:r>
        <w:rPr>
          <w:rFonts w:ascii="Times New Roman" w:hAnsi="Times New Roman"/>
          <w:b w:val="false"/>
          <w:bCs w:val="false"/>
          <w:color w:val="000000" w:themeColor="text1"/>
          <w:sz w:val="24"/>
          <w:szCs w:val="24"/>
        </w:rPr>
        <w:t xml:space="preserve">ALBUQUERQUE, U. P. et al. </w:t>
      </w:r>
      <w:r>
        <w:rPr>
          <w:rStyle w:val="Nfase"/>
          <w:rFonts w:ascii="Times New Roman" w:hAnsi="Times New Roman"/>
          <w:b/>
          <w:i w:val="false"/>
          <w:iCs w:val="false"/>
          <w:color w:val="000000" w:themeColor="text1"/>
          <w:sz w:val="24"/>
          <w:szCs w:val="24"/>
        </w:rPr>
        <w:t>Methods and techniques in ethnobiology and ethnomedicine</w:t>
      </w:r>
      <w:r>
        <w:rPr>
          <w:rFonts w:ascii="Times New Roman" w:hAnsi="Times New Roman"/>
          <w:b/>
          <w:i w:val="false"/>
          <w:iCs w:val="false"/>
          <w:color w:val="000000" w:themeColor="text1"/>
          <w:sz w:val="24"/>
          <w:szCs w:val="24"/>
        </w:rPr>
        <w:t xml:space="preserve">. </w:t>
      </w:r>
      <w:r>
        <w:rPr>
          <w:rFonts w:ascii="Times New Roman" w:hAnsi="Times New Roman"/>
          <w:b w:val="false"/>
          <w:bCs w:val="false"/>
          <w:color w:val="000000" w:themeColor="text1"/>
          <w:sz w:val="24"/>
          <w:szCs w:val="24"/>
        </w:rPr>
        <w:t>New York: Springer, 2014.</w:t>
      </w:r>
      <w:r>
        <w:rPr>
          <w:rFonts w:ascii="Times New Roman" w:hAnsi="Times New Roman"/>
          <w:b/>
          <w:color w:val="000000" w:themeColor="text1"/>
          <w:sz w:val="24"/>
          <w:szCs w:val="24"/>
        </w:rPr>
        <w:br/>
      </w:r>
      <w:hyperlink r:id="rId7">
        <w:r>
          <w:rPr>
            <w:rStyle w:val="LinkdaInternet"/>
            <w:rFonts w:ascii="Times New Roman" w:hAnsi="Times New Roman"/>
            <w:b/>
            <w:color w:val="000000" w:themeColor="text1"/>
            <w:sz w:val="24"/>
            <w:szCs w:val="24"/>
          </w:rPr>
          <w:t>https://doi.org/10.1007/978-1-4614-8636-7</w:t>
        </w:r>
      </w:hyperlink>
    </w:p>
    <w:p>
      <w:pPr>
        <w:pStyle w:val="Corpodotexto"/>
        <w:spacing w:lineRule="auto" w:line="240" w:before="0" w:after="0"/>
        <w:jc w:val="left"/>
        <w:rPr>
          <w:rFonts w:ascii="Times New Roman" w:hAnsi="Times New Roman"/>
          <w:b/>
          <w:color w:val="000000" w:themeColor="text1"/>
          <w:sz w:val="24"/>
          <w:szCs w:val="24"/>
        </w:rPr>
      </w:pPr>
      <w:r>
        <w:rPr>
          <w:rFonts w:ascii="Times New Roman" w:hAnsi="Times New Roman"/>
          <w:b/>
          <w:color w:val="000000" w:themeColor="text1"/>
          <w:sz w:val="24"/>
          <w:szCs w:val="24"/>
        </w:rPr>
      </w:r>
    </w:p>
    <w:p>
      <w:pPr>
        <w:pStyle w:val="Corpodotexto"/>
        <w:spacing w:lineRule="auto" w:line="240"/>
        <w:rPr/>
      </w:pPr>
      <w:r>
        <w:rPr>
          <w:rFonts w:ascii="Times New Roman" w:hAnsi="Times New Roman"/>
          <w:sz w:val="24"/>
          <w:szCs w:val="24"/>
        </w:rPr>
        <w:t xml:space="preserve">ALMEIDA, S. P. et al. </w:t>
      </w:r>
      <w:r>
        <w:rPr>
          <w:rStyle w:val="Nfase"/>
          <w:rFonts w:ascii="Times New Roman" w:hAnsi="Times New Roman"/>
          <w:sz w:val="24"/>
          <w:szCs w:val="24"/>
        </w:rPr>
        <w:t>Cerrado: espécies vegetais úteis</w:t>
      </w:r>
      <w:r>
        <w:rPr>
          <w:rFonts w:ascii="Times New Roman" w:hAnsi="Times New Roman"/>
          <w:sz w:val="24"/>
          <w:szCs w:val="24"/>
        </w:rPr>
        <w:t>. Planaltina: EMBRAPA-CPAC, 1998.</w:t>
      </w:r>
    </w:p>
    <w:p>
      <w:pPr>
        <w:pStyle w:val="Corpodotexto"/>
        <w:spacing w:lineRule="auto" w:line="240"/>
        <w:rPr/>
      </w:pPr>
      <w:r>
        <w:rPr>
          <w:rFonts w:ascii="Times New Roman" w:hAnsi="Times New Roman"/>
          <w:sz w:val="24"/>
          <w:szCs w:val="24"/>
        </w:rPr>
        <w:t xml:space="preserve">BEZERRA, J. W. A. et al. Phytochemical composition and antioxidant activity of </w:t>
      </w:r>
      <w:r>
        <w:rPr>
          <w:rStyle w:val="Nfase"/>
          <w:rFonts w:ascii="Times New Roman" w:hAnsi="Times New Roman"/>
          <w:sz w:val="24"/>
          <w:szCs w:val="24"/>
        </w:rPr>
        <w:t>Schinus terebinthifolius</w:t>
      </w:r>
      <w:r>
        <w:rPr>
          <w:rFonts w:ascii="Times New Roman" w:hAnsi="Times New Roman"/>
          <w:sz w:val="24"/>
          <w:szCs w:val="24"/>
        </w:rPr>
        <w:t xml:space="preserve">. </w:t>
      </w:r>
      <w:r>
        <w:rPr>
          <w:rStyle w:val="Strong"/>
          <w:rFonts w:ascii="Times New Roman" w:hAnsi="Times New Roman"/>
          <w:sz w:val="24"/>
          <w:szCs w:val="24"/>
        </w:rPr>
        <w:t>Biochemical Systematics and Ecology</w:t>
      </w:r>
      <w:r>
        <w:rPr>
          <w:rFonts w:ascii="Times New Roman" w:hAnsi="Times New Roman"/>
          <w:sz w:val="24"/>
          <w:szCs w:val="24"/>
        </w:rPr>
        <w:t>, v. 100, p. 104381, 2022.</w:t>
        <w:br/>
      </w:r>
      <w:hyperlink r:id="rId8" w:tgtFrame="_new">
        <w:r>
          <w:rPr>
            <w:rStyle w:val="LinkdaInternet"/>
            <w:rFonts w:ascii="Times New Roman" w:hAnsi="Times New Roman"/>
            <w:sz w:val="24"/>
            <w:szCs w:val="24"/>
          </w:rPr>
          <w:t>https://doi.org/10.1016/j.bse.2021.104381</w:t>
        </w:r>
      </w:hyperlink>
    </w:p>
    <w:p>
      <w:pPr>
        <w:pStyle w:val="Corpodotexto"/>
        <w:spacing w:lineRule="auto" w:line="240"/>
        <w:rPr/>
      </w:pPr>
      <w:r>
        <w:rPr>
          <w:rFonts w:ascii="Times New Roman" w:hAnsi="Times New Roman"/>
          <w:sz w:val="24"/>
          <w:szCs w:val="24"/>
        </w:rPr>
        <w:t xml:space="preserve">BIESKI, I. G. C. et al. Ethnopharmacology of medicinal plants of the Pantanal region (Brazil). </w:t>
      </w:r>
      <w:r>
        <w:rPr>
          <w:rStyle w:val="Strong"/>
          <w:rFonts w:ascii="Times New Roman" w:hAnsi="Times New Roman"/>
          <w:sz w:val="24"/>
          <w:szCs w:val="24"/>
        </w:rPr>
        <w:t>Journal of Ethnopharmacology</w:t>
      </w:r>
      <w:r>
        <w:rPr>
          <w:rFonts w:ascii="Times New Roman" w:hAnsi="Times New Roman"/>
          <w:sz w:val="24"/>
          <w:szCs w:val="24"/>
        </w:rPr>
        <w:t>, v. 141, p. 1–13, 2012.</w:t>
        <w:br/>
      </w:r>
      <w:hyperlink r:id="rId9" w:tgtFrame="_new">
        <w:r>
          <w:rPr>
            <w:rStyle w:val="LinkdaInternet"/>
            <w:rFonts w:ascii="Times New Roman" w:hAnsi="Times New Roman"/>
            <w:sz w:val="24"/>
            <w:szCs w:val="24"/>
          </w:rPr>
          <w:t>https://doi.org/10.1016/j.jep.2012.02.025</w:t>
        </w:r>
      </w:hyperlink>
    </w:p>
    <w:p>
      <w:pPr>
        <w:pStyle w:val="Corpodotexto"/>
        <w:spacing w:lineRule="auto" w:line="240"/>
        <w:rPr/>
      </w:pPr>
      <w:r>
        <w:rPr>
          <w:rFonts w:ascii="Times New Roman" w:hAnsi="Times New Roman"/>
          <w:sz w:val="24"/>
          <w:szCs w:val="24"/>
        </w:rPr>
        <w:t xml:space="preserve">BRAGA, T. V. et al. Antimicrobial activity of extracts from </w:t>
      </w:r>
      <w:r>
        <w:rPr>
          <w:rStyle w:val="Nfase"/>
          <w:rFonts w:ascii="Times New Roman" w:hAnsi="Times New Roman"/>
          <w:sz w:val="24"/>
          <w:szCs w:val="24"/>
        </w:rPr>
        <w:t>Astronium fraxinifolium</w:t>
      </w:r>
      <w:r>
        <w:rPr>
          <w:rFonts w:ascii="Times New Roman" w:hAnsi="Times New Roman"/>
          <w:sz w:val="24"/>
          <w:szCs w:val="24"/>
        </w:rPr>
        <w:t xml:space="preserve">. </w:t>
      </w:r>
      <w:r>
        <w:rPr>
          <w:rStyle w:val="Strong"/>
          <w:rFonts w:ascii="Times New Roman" w:hAnsi="Times New Roman"/>
          <w:sz w:val="24"/>
          <w:szCs w:val="24"/>
        </w:rPr>
        <w:t>Revista Brasileira de Plantas Medicinais</w:t>
      </w:r>
      <w:r>
        <w:rPr>
          <w:rFonts w:ascii="Times New Roman" w:hAnsi="Times New Roman"/>
          <w:sz w:val="24"/>
          <w:szCs w:val="24"/>
        </w:rPr>
        <w:t>, v. 21, n. 2, p. 1–8, 2019.</w:t>
        <w:br/>
        <w:t>https://doi.org/10.1590/1983-084x/18_145</w:t>
      </w:r>
    </w:p>
    <w:p>
      <w:pPr>
        <w:pStyle w:val="Corpodotexto"/>
        <w:spacing w:lineRule="auto" w:line="240"/>
        <w:rPr/>
      </w:pPr>
      <w:r>
        <w:rPr>
          <w:rFonts w:ascii="Times New Roman" w:hAnsi="Times New Roman"/>
          <w:sz w:val="24"/>
          <w:szCs w:val="24"/>
        </w:rPr>
        <w:t xml:space="preserve">CECÍLIO, A. B. et al. Antimicrobial activity of </w:t>
      </w:r>
      <w:r>
        <w:rPr>
          <w:rStyle w:val="Nfase"/>
          <w:rFonts w:ascii="Times New Roman" w:hAnsi="Times New Roman"/>
          <w:sz w:val="24"/>
          <w:szCs w:val="24"/>
        </w:rPr>
        <w:t>Myracrodruon urundeuva</w:t>
      </w:r>
      <w:r>
        <w:rPr>
          <w:rFonts w:ascii="Times New Roman" w:hAnsi="Times New Roman"/>
          <w:sz w:val="24"/>
          <w:szCs w:val="24"/>
        </w:rPr>
        <w:t xml:space="preserve"> extracts. </w:t>
      </w:r>
      <w:r>
        <w:rPr>
          <w:rStyle w:val="Strong"/>
          <w:rFonts w:ascii="Times New Roman" w:hAnsi="Times New Roman"/>
          <w:sz w:val="24"/>
          <w:szCs w:val="24"/>
        </w:rPr>
        <w:t>Journal of Ethnopharmacology</w:t>
      </w:r>
      <w:r>
        <w:rPr>
          <w:rFonts w:ascii="Times New Roman" w:hAnsi="Times New Roman"/>
          <w:sz w:val="24"/>
          <w:szCs w:val="24"/>
        </w:rPr>
        <w:t>, v. 143, p. 1–6, 2012.</w:t>
        <w:br/>
      </w:r>
      <w:hyperlink r:id="rId10" w:tgtFrame="_new">
        <w:r>
          <w:rPr>
            <w:rStyle w:val="LinkdaInternet"/>
            <w:rFonts w:ascii="Times New Roman" w:hAnsi="Times New Roman"/>
            <w:sz w:val="24"/>
            <w:szCs w:val="24"/>
          </w:rPr>
          <w:t>https://doi.org/10.1016/j.jep.2012.06.006</w:t>
        </w:r>
      </w:hyperlink>
    </w:p>
    <w:p>
      <w:pPr>
        <w:pStyle w:val="Corpodotexto"/>
        <w:spacing w:lineRule="auto" w:line="240"/>
        <w:rPr/>
      </w:pPr>
      <w:r>
        <w:rPr>
          <w:rFonts w:ascii="Times New Roman" w:hAnsi="Times New Roman"/>
          <w:sz w:val="24"/>
          <w:szCs w:val="24"/>
        </w:rPr>
        <w:t xml:space="preserve">COSTA, J. C. et al. Traditional knowledge and medicinal plants in the Brazilian Cerrado. </w:t>
      </w:r>
      <w:r>
        <w:rPr>
          <w:rStyle w:val="Strong"/>
          <w:rFonts w:ascii="Times New Roman" w:hAnsi="Times New Roman"/>
          <w:sz w:val="24"/>
          <w:szCs w:val="24"/>
        </w:rPr>
        <w:t>Ethnobotany Research and Applications</w:t>
      </w:r>
      <w:r>
        <w:rPr>
          <w:rFonts w:ascii="Times New Roman" w:hAnsi="Times New Roman"/>
          <w:sz w:val="24"/>
          <w:szCs w:val="24"/>
        </w:rPr>
        <w:t>, v. 21, p. 1–14, 2021.</w:t>
      </w:r>
    </w:p>
    <w:p>
      <w:pPr>
        <w:pStyle w:val="Corpodotexto"/>
        <w:spacing w:lineRule="auto" w:line="240"/>
        <w:rPr/>
      </w:pPr>
      <w:r>
        <w:rPr>
          <w:rFonts w:ascii="Times New Roman" w:hAnsi="Times New Roman"/>
          <w:sz w:val="24"/>
          <w:szCs w:val="24"/>
        </w:rPr>
        <w:t xml:space="preserve">GIL, A. C. </w:t>
      </w:r>
      <w:r>
        <w:rPr>
          <w:rStyle w:val="Nfase"/>
          <w:rFonts w:ascii="Times New Roman" w:hAnsi="Times New Roman"/>
          <w:sz w:val="24"/>
          <w:szCs w:val="24"/>
        </w:rPr>
        <w:t>Métodos e técnicas de pesquisa social</w:t>
      </w:r>
      <w:r>
        <w:rPr>
          <w:rFonts w:ascii="Times New Roman" w:hAnsi="Times New Roman"/>
          <w:sz w:val="24"/>
          <w:szCs w:val="24"/>
        </w:rPr>
        <w:t>. 6. ed. São Paulo: Atlas, 2008.</w:t>
      </w:r>
    </w:p>
    <w:p>
      <w:pPr>
        <w:pStyle w:val="Corpodotexto"/>
        <w:spacing w:lineRule="auto" w:line="240"/>
        <w:rPr/>
      </w:pPr>
      <w:r>
        <w:rPr>
          <w:rFonts w:ascii="Times New Roman" w:hAnsi="Times New Roman"/>
          <w:sz w:val="24"/>
          <w:szCs w:val="24"/>
        </w:rPr>
        <w:t xml:space="preserve">GOMES, E. C.; BANDEIRA, F. P. S. Ethnobotanical knowledge of medicinal plants in Brazil. </w:t>
      </w:r>
      <w:r>
        <w:rPr>
          <w:rStyle w:val="Strong"/>
          <w:rFonts w:ascii="Times New Roman" w:hAnsi="Times New Roman"/>
          <w:sz w:val="24"/>
          <w:szCs w:val="24"/>
        </w:rPr>
        <w:t>Journal of Ethnopharmacology</w:t>
      </w:r>
      <w:r>
        <w:rPr>
          <w:rFonts w:ascii="Times New Roman" w:hAnsi="Times New Roman"/>
          <w:sz w:val="24"/>
          <w:szCs w:val="24"/>
        </w:rPr>
        <w:t>, v. 142, p. 1–9, 2012.</w:t>
        <w:br/>
      </w:r>
      <w:hyperlink r:id="rId11" w:tgtFrame="_new">
        <w:r>
          <w:rPr>
            <w:rStyle w:val="LinkdaInternet"/>
            <w:rFonts w:ascii="Times New Roman" w:hAnsi="Times New Roman"/>
            <w:sz w:val="24"/>
            <w:szCs w:val="24"/>
          </w:rPr>
          <w:t>https://doi.org/10.1016/j.jep.2012.04.054</w:t>
        </w:r>
      </w:hyperlink>
    </w:p>
    <w:p>
      <w:pPr>
        <w:pStyle w:val="Corpodotexto"/>
        <w:spacing w:lineRule="auto" w:line="240"/>
        <w:rPr/>
      </w:pPr>
      <w:r>
        <w:rPr>
          <w:rFonts w:ascii="Times New Roman" w:hAnsi="Times New Roman"/>
          <w:sz w:val="24"/>
          <w:szCs w:val="24"/>
        </w:rPr>
        <w:t xml:space="preserve">KLINK, C. A.; MACHADO, R. B. Conservation of the Brazilian Cerrado. </w:t>
      </w:r>
      <w:r>
        <w:rPr>
          <w:rStyle w:val="Strong"/>
          <w:rFonts w:ascii="Times New Roman" w:hAnsi="Times New Roman"/>
          <w:sz w:val="24"/>
          <w:szCs w:val="24"/>
        </w:rPr>
        <w:t>Conservation Biology</w:t>
      </w:r>
      <w:r>
        <w:rPr>
          <w:rFonts w:ascii="Times New Roman" w:hAnsi="Times New Roman"/>
          <w:sz w:val="24"/>
          <w:szCs w:val="24"/>
        </w:rPr>
        <w:t>, v. 19, n. 3, p. 707–713, 2005.</w:t>
        <w:br/>
      </w:r>
      <w:hyperlink r:id="rId12" w:tgtFrame="_new">
        <w:r>
          <w:rPr>
            <w:rStyle w:val="LinkdaInternet"/>
            <w:rFonts w:ascii="Times New Roman" w:hAnsi="Times New Roman"/>
            <w:sz w:val="24"/>
            <w:szCs w:val="24"/>
          </w:rPr>
          <w:t>https://doi.org/10.1111/j.1523-1739.2005.00702.x</w:t>
        </w:r>
      </w:hyperlink>
    </w:p>
    <w:p>
      <w:pPr>
        <w:pStyle w:val="Corpodotexto"/>
        <w:spacing w:lineRule="auto" w:line="240"/>
        <w:rPr/>
      </w:pPr>
      <w:r>
        <w:rPr>
          <w:rFonts w:ascii="Times New Roman" w:hAnsi="Times New Roman"/>
          <w:sz w:val="24"/>
          <w:szCs w:val="24"/>
        </w:rPr>
        <w:t xml:space="preserve">LORENZI, H.; MATOS, F. J. A. </w:t>
      </w:r>
      <w:r>
        <w:rPr>
          <w:rStyle w:val="Nfase"/>
          <w:rFonts w:ascii="Times New Roman" w:hAnsi="Times New Roman"/>
          <w:sz w:val="24"/>
          <w:szCs w:val="24"/>
        </w:rPr>
        <w:t>Plantas medicinais no Brasil: nativas e exóticas</w:t>
      </w:r>
      <w:r>
        <w:rPr>
          <w:rFonts w:ascii="Times New Roman" w:hAnsi="Times New Roman"/>
          <w:sz w:val="24"/>
          <w:szCs w:val="24"/>
        </w:rPr>
        <w:t>. 2. ed. Nova Odessa: Instituto Plantarum, 2008.</w:t>
      </w:r>
    </w:p>
    <w:p>
      <w:pPr>
        <w:pStyle w:val="Corpodotexto"/>
        <w:spacing w:lineRule="auto" w:line="240"/>
        <w:rPr/>
      </w:pPr>
      <w:r>
        <w:rPr>
          <w:rFonts w:ascii="Times New Roman" w:hAnsi="Times New Roman"/>
          <w:sz w:val="24"/>
          <w:szCs w:val="24"/>
        </w:rPr>
        <w:t xml:space="preserve">MACÊDO, D. G. et al. Medicinal plants used by rural communities in the Brazilian Cerrado. </w:t>
      </w:r>
      <w:r>
        <w:rPr>
          <w:rStyle w:val="Strong"/>
          <w:rFonts w:ascii="Times New Roman" w:hAnsi="Times New Roman"/>
          <w:sz w:val="24"/>
          <w:szCs w:val="24"/>
        </w:rPr>
        <w:t>Journal of Ethnobiology and Ethnomedicine</w:t>
      </w:r>
      <w:r>
        <w:rPr>
          <w:rFonts w:ascii="Times New Roman" w:hAnsi="Times New Roman"/>
          <w:sz w:val="24"/>
          <w:szCs w:val="24"/>
        </w:rPr>
        <w:t>, v. 11, p. 1–12, 2015.</w:t>
        <w:br/>
      </w:r>
      <w:hyperlink r:id="rId13" w:tgtFrame="_new">
        <w:r>
          <w:rPr>
            <w:rStyle w:val="LinkdaInternet"/>
            <w:rFonts w:ascii="Times New Roman" w:hAnsi="Times New Roman"/>
            <w:sz w:val="24"/>
            <w:szCs w:val="24"/>
          </w:rPr>
          <w:t>https://doi.org/10.1186/s13002-015-0058-0</w:t>
        </w:r>
      </w:hyperlink>
    </w:p>
    <w:p>
      <w:pPr>
        <w:pStyle w:val="Corpodotexto"/>
        <w:spacing w:lineRule="auto" w:line="240"/>
        <w:rPr/>
      </w:pPr>
      <w:r>
        <w:rPr>
          <w:rFonts w:ascii="Times New Roman" w:hAnsi="Times New Roman"/>
          <w:sz w:val="24"/>
          <w:szCs w:val="24"/>
        </w:rPr>
        <w:t xml:space="preserve">MACIEL, M. A. M. et al. Plantas medicinais: a necessidade de estudos multidisciplinares. </w:t>
      </w:r>
      <w:r>
        <w:rPr>
          <w:rStyle w:val="Strong"/>
          <w:rFonts w:ascii="Times New Roman" w:hAnsi="Times New Roman"/>
          <w:sz w:val="24"/>
          <w:szCs w:val="24"/>
        </w:rPr>
        <w:t>Química Nova</w:t>
      </w:r>
      <w:r>
        <w:rPr>
          <w:rFonts w:ascii="Times New Roman" w:hAnsi="Times New Roman"/>
          <w:sz w:val="24"/>
          <w:szCs w:val="24"/>
        </w:rPr>
        <w:t>, v. 25, n. 3, p. 429–438, 2002.</w:t>
        <w:br/>
        <w:t>https://doi.org/10.1590/S0100-40422002000300016</w:t>
      </w:r>
    </w:p>
    <w:p>
      <w:pPr>
        <w:pStyle w:val="Corpodotexto"/>
        <w:spacing w:lineRule="auto" w:line="240"/>
        <w:rPr/>
      </w:pPr>
      <w:r>
        <w:rPr>
          <w:rFonts w:ascii="Times New Roman" w:hAnsi="Times New Roman"/>
          <w:sz w:val="24"/>
          <w:szCs w:val="24"/>
        </w:rPr>
        <w:t xml:space="preserve">MINAYO, M. C. S. </w:t>
      </w:r>
      <w:r>
        <w:rPr>
          <w:rStyle w:val="Nfase"/>
          <w:rFonts w:ascii="Times New Roman" w:hAnsi="Times New Roman"/>
          <w:sz w:val="24"/>
          <w:szCs w:val="24"/>
        </w:rPr>
        <w:t>O desafio do conhecimento: pesquisa qualitativa em saúde</w:t>
      </w:r>
      <w:r>
        <w:rPr>
          <w:rFonts w:ascii="Times New Roman" w:hAnsi="Times New Roman"/>
          <w:sz w:val="24"/>
          <w:szCs w:val="24"/>
        </w:rPr>
        <w:t>. 14. ed. São Paulo: Hucitec, 2014.</w:t>
      </w:r>
    </w:p>
    <w:p>
      <w:pPr>
        <w:pStyle w:val="Corpodotexto"/>
        <w:spacing w:lineRule="auto" w:line="240"/>
        <w:rPr/>
      </w:pPr>
      <w:r>
        <w:rPr>
          <w:rFonts w:ascii="Times New Roman" w:hAnsi="Times New Roman"/>
          <w:sz w:val="24"/>
          <w:szCs w:val="24"/>
        </w:rPr>
        <w:t xml:space="preserve">MYERS, N. et al. Biodiversity hotspots for conservation priorities. </w:t>
      </w:r>
      <w:r>
        <w:rPr>
          <w:rStyle w:val="Strong"/>
          <w:rFonts w:ascii="Times New Roman" w:hAnsi="Times New Roman"/>
          <w:sz w:val="24"/>
          <w:szCs w:val="24"/>
        </w:rPr>
        <w:t>Nature</w:t>
      </w:r>
      <w:r>
        <w:rPr>
          <w:rFonts w:ascii="Times New Roman" w:hAnsi="Times New Roman"/>
          <w:sz w:val="24"/>
          <w:szCs w:val="24"/>
        </w:rPr>
        <w:t>, v. 403, p. 853–858, 2000.</w:t>
        <w:br/>
      </w:r>
      <w:hyperlink r:id="rId14" w:tgtFrame="_new">
        <w:r>
          <w:rPr>
            <w:rStyle w:val="LinkdaInternet"/>
            <w:rFonts w:ascii="Times New Roman" w:hAnsi="Times New Roman"/>
            <w:sz w:val="24"/>
            <w:szCs w:val="24"/>
          </w:rPr>
          <w:t>https://doi.org/10.1038/35002501</w:t>
        </w:r>
      </w:hyperlink>
    </w:p>
    <w:p>
      <w:pPr>
        <w:pStyle w:val="Corpodotexto"/>
        <w:spacing w:lineRule="auto" w:line="240"/>
        <w:rPr/>
      </w:pPr>
      <w:r>
        <w:rPr>
          <w:rFonts w:ascii="Times New Roman" w:hAnsi="Times New Roman"/>
          <w:sz w:val="24"/>
          <w:szCs w:val="24"/>
        </w:rPr>
        <w:t xml:space="preserve">NASCIMENTO, G. G. F.; MORAIS, S. M. Antimicrobial activity of essential oils from </w:t>
      </w:r>
      <w:r>
        <w:rPr>
          <w:rStyle w:val="Nfase"/>
          <w:rFonts w:ascii="Times New Roman" w:hAnsi="Times New Roman"/>
          <w:sz w:val="24"/>
          <w:szCs w:val="24"/>
        </w:rPr>
        <w:t>Schinus terebinthifolius</w:t>
      </w:r>
      <w:r>
        <w:rPr>
          <w:rFonts w:ascii="Times New Roman" w:hAnsi="Times New Roman"/>
          <w:sz w:val="24"/>
          <w:szCs w:val="24"/>
        </w:rPr>
        <w:t xml:space="preserve">. </w:t>
      </w:r>
      <w:r>
        <w:rPr>
          <w:rStyle w:val="Strong"/>
          <w:rFonts w:ascii="Times New Roman" w:hAnsi="Times New Roman"/>
          <w:sz w:val="24"/>
          <w:szCs w:val="24"/>
        </w:rPr>
        <w:t>Brazilian Journal of Microbiology</w:t>
      </w:r>
      <w:r>
        <w:rPr>
          <w:rFonts w:ascii="Times New Roman" w:hAnsi="Times New Roman"/>
          <w:sz w:val="24"/>
          <w:szCs w:val="24"/>
        </w:rPr>
        <w:t>, v. 48, p. 1–8, 2017.</w:t>
        <w:br/>
      </w:r>
      <w:hyperlink r:id="rId15" w:tgtFrame="_new">
        <w:r>
          <w:rPr>
            <w:rStyle w:val="LinkdaInternet"/>
            <w:rFonts w:ascii="Times New Roman" w:hAnsi="Times New Roman"/>
            <w:sz w:val="24"/>
            <w:szCs w:val="24"/>
          </w:rPr>
          <w:t>https://doi.org/10.1016/j.bjm.2016.10.001</w:t>
        </w:r>
      </w:hyperlink>
    </w:p>
    <w:p>
      <w:pPr>
        <w:pStyle w:val="Corpodotexto"/>
        <w:spacing w:lineRule="auto" w:line="240"/>
        <w:rPr/>
      </w:pPr>
      <w:r>
        <w:rPr>
          <w:rFonts w:ascii="Times New Roman" w:hAnsi="Times New Roman"/>
          <w:sz w:val="24"/>
          <w:szCs w:val="24"/>
        </w:rPr>
        <w:t xml:space="preserve">PAULI, E. D. et al. Antioxidant activity of extracts of </w:t>
      </w:r>
      <w:r>
        <w:rPr>
          <w:rStyle w:val="Nfase"/>
          <w:rFonts w:ascii="Times New Roman" w:hAnsi="Times New Roman"/>
          <w:sz w:val="24"/>
          <w:szCs w:val="24"/>
        </w:rPr>
        <w:t>Astronium fraxinifolium</w:t>
      </w:r>
      <w:r>
        <w:rPr>
          <w:rFonts w:ascii="Times New Roman" w:hAnsi="Times New Roman"/>
          <w:sz w:val="24"/>
          <w:szCs w:val="24"/>
        </w:rPr>
        <w:t xml:space="preserve">. </w:t>
      </w:r>
      <w:r>
        <w:rPr>
          <w:rStyle w:val="Strong"/>
          <w:rFonts w:ascii="Times New Roman" w:hAnsi="Times New Roman"/>
          <w:sz w:val="24"/>
          <w:szCs w:val="24"/>
        </w:rPr>
        <w:t>Revista Brasileira de Farmacognosia</w:t>
      </w:r>
      <w:r>
        <w:rPr>
          <w:rFonts w:ascii="Times New Roman" w:hAnsi="Times New Roman"/>
          <w:sz w:val="24"/>
          <w:szCs w:val="24"/>
        </w:rPr>
        <w:t>, v. 28, p. 1–7, 2018.</w:t>
        <w:br/>
      </w:r>
      <w:hyperlink r:id="rId16" w:tgtFrame="_new">
        <w:r>
          <w:rPr>
            <w:rStyle w:val="LinkdaInternet"/>
            <w:rFonts w:ascii="Times New Roman" w:hAnsi="Times New Roman"/>
            <w:sz w:val="24"/>
            <w:szCs w:val="24"/>
          </w:rPr>
          <w:t>https://doi.org/10.1016/j.bjp.2018.03.002</w:t>
        </w:r>
      </w:hyperlink>
    </w:p>
    <w:p>
      <w:pPr>
        <w:pStyle w:val="Corpodotexto"/>
        <w:spacing w:lineRule="auto" w:line="240"/>
        <w:rPr/>
      </w:pPr>
      <w:r>
        <w:rPr>
          <w:rFonts w:ascii="Times New Roman" w:hAnsi="Times New Roman"/>
          <w:sz w:val="24"/>
          <w:szCs w:val="24"/>
        </w:rPr>
        <w:t xml:space="preserve">RATES, S. M. K. Plants as source of drugs. </w:t>
      </w:r>
      <w:r>
        <w:rPr>
          <w:rStyle w:val="Strong"/>
          <w:rFonts w:ascii="Times New Roman" w:hAnsi="Times New Roman"/>
          <w:sz w:val="24"/>
          <w:szCs w:val="24"/>
        </w:rPr>
        <w:t>Toxicon</w:t>
      </w:r>
      <w:r>
        <w:rPr>
          <w:rFonts w:ascii="Times New Roman" w:hAnsi="Times New Roman"/>
          <w:sz w:val="24"/>
          <w:szCs w:val="24"/>
        </w:rPr>
        <w:t>, v. 39, p. 603–613, 2001.</w:t>
        <w:br/>
      </w:r>
      <w:hyperlink r:id="rId17" w:tgtFrame="_new">
        <w:r>
          <w:rPr>
            <w:rStyle w:val="LinkdaInternet"/>
            <w:rFonts w:ascii="Times New Roman" w:hAnsi="Times New Roman"/>
            <w:sz w:val="24"/>
            <w:szCs w:val="24"/>
          </w:rPr>
          <w:t>https://doi.org/10.1016/S0041-0101(00)00154-9</w:t>
        </w:r>
      </w:hyperlink>
    </w:p>
    <w:p>
      <w:pPr>
        <w:pStyle w:val="Corpodotexto"/>
        <w:spacing w:lineRule="auto" w:line="240"/>
        <w:rPr/>
      </w:pPr>
      <w:r>
        <w:rPr>
          <w:rFonts w:ascii="Times New Roman" w:hAnsi="Times New Roman"/>
          <w:sz w:val="24"/>
          <w:szCs w:val="24"/>
        </w:rPr>
        <w:t>RIBEIRO, J. F.; WALTER, B. M. T. As principais fitofisionomias do bioma Cerrado. In:</w:t>
        <w:br/>
        <w:t xml:space="preserve">SANO, S. M.; ALMEIDA, S. P.; RIBEIRO, J. F. </w:t>
      </w:r>
      <w:r>
        <w:rPr>
          <w:rStyle w:val="Nfase"/>
          <w:rFonts w:ascii="Times New Roman" w:hAnsi="Times New Roman"/>
          <w:sz w:val="24"/>
          <w:szCs w:val="24"/>
        </w:rPr>
        <w:t>Cerrado: ecologia e flora</w:t>
      </w:r>
      <w:r>
        <w:rPr>
          <w:rFonts w:ascii="Times New Roman" w:hAnsi="Times New Roman"/>
          <w:sz w:val="24"/>
          <w:szCs w:val="24"/>
        </w:rPr>
        <w:t>. Brasília: Embrapa, 2008.</w:t>
      </w:r>
    </w:p>
    <w:p>
      <w:pPr>
        <w:pStyle w:val="Corpodotexto"/>
        <w:spacing w:lineRule="auto" w:line="240"/>
        <w:rPr/>
      </w:pPr>
      <w:r>
        <w:rPr>
          <w:rFonts w:ascii="Times New Roman" w:hAnsi="Times New Roman"/>
          <w:sz w:val="24"/>
          <w:szCs w:val="24"/>
        </w:rPr>
        <w:t xml:space="preserve">RIBEIRO, R. V. et al. Ethnobotanical survey of medicinal plants in Brazil. </w:t>
      </w:r>
      <w:r>
        <w:rPr>
          <w:rStyle w:val="Strong"/>
          <w:rFonts w:ascii="Times New Roman" w:hAnsi="Times New Roman"/>
          <w:sz w:val="24"/>
          <w:szCs w:val="24"/>
        </w:rPr>
        <w:t>Journal of Ethnopharmacology</w:t>
      </w:r>
      <w:r>
        <w:rPr>
          <w:rFonts w:ascii="Times New Roman" w:hAnsi="Times New Roman"/>
          <w:sz w:val="24"/>
          <w:szCs w:val="24"/>
        </w:rPr>
        <w:t>, v. 207, p. 1–12, 2017.</w:t>
      </w:r>
    </w:p>
    <w:p>
      <w:pPr>
        <w:pStyle w:val="Corpodotexto"/>
        <w:spacing w:lineRule="auto" w:line="240"/>
        <w:rPr/>
      </w:pPr>
      <w:r>
        <w:rPr>
          <w:rFonts w:ascii="Times New Roman" w:hAnsi="Times New Roman"/>
          <w:sz w:val="24"/>
          <w:szCs w:val="24"/>
        </w:rPr>
        <w:t xml:space="preserve">SARAIVA, M. E. et al. Medicinal plants in the Brazilian Northeast. </w:t>
      </w:r>
      <w:r>
        <w:rPr>
          <w:rStyle w:val="Strong"/>
          <w:rFonts w:ascii="Times New Roman" w:hAnsi="Times New Roman"/>
          <w:sz w:val="24"/>
          <w:szCs w:val="24"/>
        </w:rPr>
        <w:t>Journal of Ethnopharmacology</w:t>
      </w:r>
      <w:r>
        <w:rPr>
          <w:rFonts w:ascii="Times New Roman" w:hAnsi="Times New Roman"/>
          <w:sz w:val="24"/>
          <w:szCs w:val="24"/>
        </w:rPr>
        <w:t>, v. 173, p. 1–10, 2015.</w:t>
      </w:r>
    </w:p>
    <w:p>
      <w:pPr>
        <w:pStyle w:val="Corpodotexto"/>
        <w:spacing w:lineRule="auto" w:line="240"/>
        <w:rPr/>
      </w:pPr>
      <w:r>
        <w:rPr>
          <w:rFonts w:ascii="Times New Roman" w:hAnsi="Times New Roman"/>
          <w:sz w:val="24"/>
          <w:szCs w:val="24"/>
        </w:rPr>
        <w:t xml:space="preserve">SIMÕES, C. M. O. et al. </w:t>
      </w:r>
      <w:r>
        <w:rPr>
          <w:rStyle w:val="Nfase"/>
          <w:rFonts w:ascii="Times New Roman" w:hAnsi="Times New Roman"/>
          <w:sz w:val="24"/>
          <w:szCs w:val="24"/>
        </w:rPr>
        <w:t>Farmacognosia: do produto natural ao medicamento</w:t>
      </w:r>
      <w:r>
        <w:rPr>
          <w:rFonts w:ascii="Times New Roman" w:hAnsi="Times New Roman"/>
          <w:sz w:val="24"/>
          <w:szCs w:val="24"/>
        </w:rPr>
        <w:t>. Porto Alegre: Artmed, 2017.</w:t>
      </w:r>
    </w:p>
    <w:p>
      <w:pPr>
        <w:pStyle w:val="Normal"/>
        <w:spacing w:lineRule="auto" w:line="240" w:before="0" w:after="0"/>
        <w:jc w:val="left"/>
        <w:rPr>
          <w:rFonts w:ascii="Times New Roman" w:hAnsi="Times New Roman"/>
          <w:b/>
          <w:color w:val="000000" w:themeColor="text1"/>
          <w:sz w:val="24"/>
          <w:szCs w:val="24"/>
        </w:rPr>
      </w:pPr>
      <w:r>
        <w:rPr>
          <w:rFonts w:ascii="Times New Roman" w:hAnsi="Times New Roman"/>
          <w:b/>
          <w:color w:val="000000" w:themeColor="text1"/>
          <w:sz w:val="24"/>
          <w:szCs w:val="24"/>
        </w:rPr>
      </w:r>
    </w:p>
    <w:p>
      <w:pPr>
        <w:pStyle w:val="Annotationtext"/>
        <w:spacing w:lineRule="auto" w:line="276"/>
        <w:jc w:val="both"/>
        <w:rPr/>
      </w:pPr>
      <w:r>
        <w:rPr>
          <w:b/>
          <w:color w:val="000000" w:themeColor="text1"/>
          <w:sz w:val="24"/>
          <w:szCs w:val="24"/>
          <w:lang w:val="it-IT"/>
        </w:rPr>
        <w:t>HISTÓRICO</w:t>
      </w:r>
    </w:p>
    <w:p>
      <w:pPr>
        <w:pStyle w:val="Annotationtext"/>
        <w:spacing w:lineRule="auto" w:line="276"/>
        <w:jc w:val="both"/>
        <w:rPr/>
      </w:pPr>
      <w:r>
        <w:rPr>
          <w:b/>
          <w:bCs/>
          <w:i/>
          <w:color w:val="000000" w:themeColor="text1"/>
          <w:sz w:val="24"/>
          <w:szCs w:val="24"/>
          <w:lang w:val="it-IT"/>
        </w:rPr>
        <w:t>Submetido</w:t>
      </w:r>
      <w:r>
        <w:rPr>
          <w:b/>
          <w:bCs/>
          <w:color w:val="000000" w:themeColor="text1"/>
          <w:sz w:val="24"/>
          <w:szCs w:val="24"/>
          <w:lang w:val="it-IT"/>
        </w:rPr>
        <w:t>:</w:t>
      </w:r>
      <w:r>
        <w:rPr>
          <w:bCs/>
          <w:color w:val="000000" w:themeColor="text1"/>
          <w:sz w:val="24"/>
          <w:szCs w:val="24"/>
          <w:lang w:val="it-IT"/>
        </w:rPr>
        <w:t xml:space="preserve"> xx de xxx de xxxx.</w:t>
      </w:r>
    </w:p>
    <w:p>
      <w:pPr>
        <w:pStyle w:val="Annotationtext"/>
        <w:spacing w:lineRule="auto" w:line="276"/>
        <w:jc w:val="both"/>
        <w:rPr/>
      </w:pPr>
      <w:r>
        <w:rPr>
          <w:b/>
          <w:bCs/>
          <w:i/>
          <w:color w:val="000000" w:themeColor="text1"/>
          <w:sz w:val="24"/>
          <w:szCs w:val="24"/>
          <w:lang w:val="it-IT"/>
        </w:rPr>
        <w:t>Aprovado</w:t>
      </w:r>
      <w:r>
        <w:rPr>
          <w:b/>
          <w:bCs/>
          <w:color w:val="000000" w:themeColor="text1"/>
          <w:sz w:val="24"/>
          <w:szCs w:val="24"/>
          <w:lang w:val="it-IT"/>
        </w:rPr>
        <w:t>:</w:t>
      </w:r>
      <w:r>
        <w:rPr>
          <w:bCs/>
          <w:color w:val="000000" w:themeColor="text1"/>
          <w:sz w:val="24"/>
          <w:szCs w:val="24"/>
          <w:lang w:val="it-IT"/>
        </w:rPr>
        <w:t xml:space="preserve"> xx de xxx de xxxx.</w:t>
      </w:r>
    </w:p>
    <w:p>
      <w:pPr>
        <w:pStyle w:val="Annotationtext"/>
        <w:spacing w:lineRule="auto" w:line="276"/>
        <w:jc w:val="both"/>
        <w:rPr/>
      </w:pPr>
      <w:r>
        <w:rPr>
          <w:b/>
          <w:bCs/>
          <w:i/>
          <w:color w:val="000000" w:themeColor="text1"/>
          <w:sz w:val="24"/>
          <w:szCs w:val="24"/>
          <w:lang w:val="it-IT"/>
        </w:rPr>
        <w:t>Publicado</w:t>
      </w:r>
      <w:r>
        <w:rPr>
          <w:b/>
          <w:bCs/>
          <w:color w:val="000000" w:themeColor="text1"/>
          <w:sz w:val="24"/>
          <w:szCs w:val="24"/>
          <w:lang w:val="it-IT"/>
        </w:rPr>
        <w:t>:</w:t>
      </w:r>
      <w:r>
        <w:rPr>
          <w:bCs/>
          <w:color w:val="000000" w:themeColor="text1"/>
          <w:sz w:val="24"/>
          <w:szCs w:val="24"/>
          <w:lang w:val="it-IT"/>
        </w:rPr>
        <w:t xml:space="preserve"> xx de xxx de xxxx.</w:t>
      </w:r>
    </w:p>
    <w:p>
      <w:pPr>
        <w:pStyle w:val="Annotationtext"/>
        <w:spacing w:lineRule="auto" w:line="276"/>
        <w:jc w:val="both"/>
        <w:rPr>
          <w:bCs/>
          <w:color w:val="000000" w:themeColor="text1"/>
          <w:sz w:val="24"/>
          <w:szCs w:val="24"/>
          <w:lang w:val="it-IT"/>
        </w:rPr>
      </w:pPr>
      <w:r>
        <w:rPr>
          <w:bCs/>
          <w:color w:val="000000" w:themeColor="text1"/>
          <w:sz w:val="24"/>
          <w:szCs w:val="24"/>
          <w:lang w:val="it-IT"/>
        </w:rPr>
      </w:r>
    </w:p>
    <w:p>
      <w:pPr>
        <w:pStyle w:val="Normal"/>
        <w:spacing w:lineRule="auto" w:line="276" w:before="0" w:after="0"/>
        <w:contextualSpacing/>
        <w:rPr/>
      </w:pPr>
      <w:r>
        <w:rPr>
          <w:rFonts w:eastAsia="Times New Roman" w:ascii="Times New Roman" w:hAnsi="Times New Roman"/>
          <w:b/>
          <w:bCs/>
          <w:color w:val="000000" w:themeColor="text1"/>
          <w:sz w:val="24"/>
          <w:szCs w:val="32"/>
          <w:lang w:val="it-IT" w:eastAsia="pt-BR"/>
        </w:rPr>
        <w:t>COMO CITAR O ARTIGO - ABNT</w:t>
      </w:r>
    </w:p>
    <w:p>
      <w:pPr>
        <w:pStyle w:val="Normal"/>
        <w:spacing w:lineRule="auto" w:line="276" w:before="0" w:after="0"/>
        <w:contextualSpacing/>
        <w:jc w:val="both"/>
        <w:rPr/>
      </w:pPr>
      <w:r>
        <w:rPr>
          <w:rFonts w:eastAsia="Times New Roman" w:ascii="Times New Roman" w:hAnsi="Times New Roman"/>
          <w:bCs/>
          <w:sz w:val="24"/>
          <w:szCs w:val="32"/>
          <w:lang w:val="it-IT" w:eastAsia="pt-BR"/>
        </w:rPr>
        <w:t xml:space="preserve">RESCIA1, V. C.; OLIVEIRA2, M. L. S.; ARAUJO, V. E. O.; PAES, M. M.4. Aroeiras do Cerrado: aspectos etnobotânicos, fitoquímicos e farmacológicos. </w:t>
      </w:r>
      <w:r>
        <w:rPr>
          <w:rFonts w:eastAsia="Times New Roman" w:ascii="Times New Roman" w:hAnsi="Times New Roman"/>
          <w:b/>
          <w:bCs/>
          <w:sz w:val="24"/>
          <w:szCs w:val="32"/>
          <w:lang w:val="it-IT" w:eastAsia="pt-BR"/>
        </w:rPr>
        <w:t>FLOVET - Flora, Vegetação e Etnobotânica</w:t>
      </w:r>
      <w:r>
        <w:rPr>
          <w:rFonts w:eastAsia="Times New Roman" w:ascii="Times New Roman" w:hAnsi="Times New Roman"/>
          <w:sz w:val="24"/>
          <w:szCs w:val="32"/>
          <w:lang w:val="it-IT" w:eastAsia="pt-BR"/>
        </w:rPr>
        <w:t>, Cuiabá (MT)</w:t>
      </w:r>
      <w:r>
        <w:rPr>
          <w:rFonts w:ascii="Times New Roman" w:hAnsi="Times New Roman"/>
          <w:sz w:val="24"/>
          <w:szCs w:val="24"/>
        </w:rPr>
        <w:t>,</w:t>
      </w:r>
      <w:r>
        <w:rPr>
          <w:rFonts w:ascii="Times New Roman" w:hAnsi="Times New Roman"/>
          <w:bCs/>
          <w:sz w:val="24"/>
          <w:szCs w:val="24"/>
        </w:rPr>
        <w:t xml:space="preserve"> v. X, n. X, </w:t>
      </w:r>
      <w:r>
        <w:rPr>
          <w:rFonts w:ascii="Times New Roman" w:hAnsi="Times New Roman"/>
          <w:bCs/>
          <w:i/>
          <w:sz w:val="24"/>
          <w:szCs w:val="24"/>
        </w:rPr>
        <w:t>e</w:t>
      </w:r>
      <w:r>
        <w:rPr>
          <w:rFonts w:ascii="Times New Roman" w:hAnsi="Times New Roman"/>
          <w:bCs/>
          <w:sz w:val="24"/>
          <w:szCs w:val="24"/>
        </w:rPr>
        <w:t>202200</w:t>
      </w:r>
      <w:r>
        <w:rPr>
          <w:rFonts w:eastAsia="Times New Roman" w:ascii="Times New Roman" w:hAnsi="Times New Roman"/>
          <w:bCs/>
          <w:sz w:val="24"/>
          <w:szCs w:val="32"/>
          <w:lang w:val="it-IT" w:eastAsia="pt-BR"/>
        </w:rPr>
        <w:t xml:space="preserve">, 2022. </w:t>
      </w:r>
    </w:p>
    <w:sectPr>
      <w:headerReference w:type="first" r:id="rId18"/>
      <w:footerReference w:type="even" r:id="rId19"/>
      <w:footerReference w:type="default" r:id="rId20"/>
      <w:footerReference w:type="first" r:id="rId21"/>
      <w:footnotePr>
        <w:numFmt w:val="decimal"/>
      </w:footnotePr>
      <w:type w:val="nextPage"/>
      <w:pgSz w:w="11906" w:h="16838"/>
      <w:pgMar w:left="1418" w:right="1418" w:gutter="0" w:header="567" w:top="1701" w:footer="567" w:bottom="1701"/>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Tahoma">
    <w:charset w:val="00"/>
    <w:family w:val="roman"/>
    <w:pitch w:val="variable"/>
  </w:font>
  <w:font w:name="Courier New">
    <w:charset w:val="00"/>
    <w:family w:val="roman"/>
    <w:pitch w:val="variable"/>
  </w:font>
  <w:font w:name="Arial">
    <w:charset w:val="00"/>
    <w:family w:val="roman"/>
    <w:pitch w:val="variable"/>
  </w:font>
  <w:font w:name="Georgia">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70499419"/>
    </w:sdtPr>
    <w:sdtContent>
      <w:p>
        <w:pPr>
          <w:pStyle w:val="Rodap"/>
          <w:jc w:val="right"/>
          <w:rPr>
            <w:rFonts w:ascii="Times New Roman" w:hAnsi="Times New Roman"/>
            <w:b/>
            <w:sz w:val="20"/>
            <w:szCs w:val="20"/>
          </w:rPr>
        </w:pPr>
        <w:r>
          <w:rPr>
            <w:rFonts w:ascii="Times New Roman" w:hAnsi="Times New Roman"/>
            <w:b/>
            <w:sz w:val="20"/>
            <w:szCs w:val="20"/>
          </w:rPr>
        </w:r>
      </w:p>
    </w:sdtContent>
  </w:sdt>
  <w:tbl>
    <w:tblPr>
      <w:tblStyle w:val="Tabelacomgrade"/>
      <w:tblW w:w="9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060"/>
    </w:tblGrid>
    <w:tr>
      <w:trPr/>
      <w:tc>
        <w:tcPr>
          <w:tcW w:w="9060" w:type="dxa"/>
          <w:tcBorders>
            <w:top w:val="single" w:sz="18" w:space="0" w:color="085742"/>
            <w:left w:val="nil"/>
            <w:bottom w:val="nil"/>
            <w:right w:val="nil"/>
          </w:tcBorders>
        </w:tcPr>
        <w:p>
          <w:pPr>
            <w:pStyle w:val="Normal"/>
            <w:widowControl w:val="false"/>
            <w:tabs>
              <w:tab w:val="clear" w:pos="708"/>
              <w:tab w:val="left" w:pos="7372" w:leader="none"/>
            </w:tabs>
            <w:suppressAutoHyphens w:val="true"/>
            <w:spacing w:before="0" w:after="0"/>
            <w:jc w:val="center"/>
            <w:rPr>
              <w:rFonts w:ascii="Times New Roman" w:hAnsi="Times New Roman"/>
              <w:bCs/>
              <w:sz w:val="20"/>
              <w:szCs w:val="20"/>
            </w:rPr>
          </w:pPr>
          <w:r>
            <w:rPr>
              <w:rFonts w:eastAsia="Calibri" w:cs="Times New Roman" w:ascii="Times New Roman" w:hAnsi="Times New Roman"/>
              <w:bCs/>
              <w:kern w:val="0"/>
              <w:sz w:val="20"/>
              <w:szCs w:val="20"/>
              <w:lang w:val="pt-BR" w:bidi="ar-SA"/>
            </w:rPr>
            <w:t xml:space="preserve">FLOVET - Flora, Vegetação e Etnobotânica, Cuiabá (MT), v. X, n. X, </w:t>
          </w:r>
          <w:r>
            <w:rPr>
              <w:rFonts w:eastAsia="Calibri" w:cs="Times New Roman" w:ascii="Times New Roman" w:hAnsi="Times New Roman"/>
              <w:bCs/>
              <w:i/>
              <w:kern w:val="0"/>
              <w:sz w:val="20"/>
              <w:szCs w:val="20"/>
              <w:lang w:val="pt-BR" w:bidi="ar-SA"/>
            </w:rPr>
            <w:t>e</w:t>
          </w:r>
          <w:r>
            <w:rPr>
              <w:rFonts w:eastAsia="Calibri" w:cs="Times New Roman" w:ascii="Times New Roman" w:hAnsi="Times New Roman"/>
              <w:bCs/>
              <w:kern w:val="0"/>
              <w:sz w:val="20"/>
              <w:szCs w:val="20"/>
              <w:lang w:val="pt-BR" w:bidi="ar-SA"/>
            </w:rPr>
            <w:t>202300X, ISSN: 1806-8863, 2023</w:t>
          </w:r>
        </w:p>
        <w:p>
          <w:pPr>
            <w:pStyle w:val="Normal"/>
            <w:widowControl w:val="false"/>
            <w:tabs>
              <w:tab w:val="clear" w:pos="708"/>
              <w:tab w:val="left" w:pos="7372" w:leader="none"/>
            </w:tabs>
            <w:suppressAutoHyphens w:val="true"/>
            <w:spacing w:before="0" w:after="0"/>
            <w:jc w:val="center"/>
            <w:rPr>
              <w:rFonts w:ascii="Times New Roman" w:hAnsi="Times New Roman"/>
              <w:bCs/>
              <w:sz w:val="18"/>
              <w:szCs w:val="20"/>
            </w:rPr>
          </w:pPr>
          <w:r>
            <w:rPr>
              <w:rFonts w:eastAsia="Calibri" w:cs="Times New Roman" w:ascii="Times New Roman" w:hAnsi="Times New Roman"/>
              <w:bCs/>
              <w:kern w:val="0"/>
              <w:sz w:val="18"/>
              <w:szCs w:val="20"/>
              <w:lang w:val="pt-BR" w:bidi="ar-SA"/>
            </w:rPr>
            <w:t xml:space="preserve">DOI: XXXXXX/XX  </w:t>
          </w:r>
        </w:p>
      </w:tc>
    </w:tr>
  </w:tbl>
  <w:p>
    <w:pPr>
      <w:pStyle w:val="Rodap"/>
      <w:jc w:val="right"/>
      <w:rPr>
        <w:rFonts w:ascii="Times New Roman" w:hAnsi="Times New Roman"/>
        <w:b/>
        <w:sz w:val="24"/>
        <w:szCs w:val="24"/>
      </w:rPr>
    </w:pPr>
    <w:r>
      <w:rPr>
        <w:rFonts w:ascii="Times New Roman" w:hAnsi="Times New Roman"/>
        <w:b/>
        <w:sz w:val="24"/>
        <w:szCs w:val="24"/>
      </w:rPr>
      <w:fldChar w:fldCharType="begin"/>
    </w:r>
    <w:r>
      <w:rPr>
        <w:sz w:val="24"/>
        <w:b/>
        <w:szCs w:val="24"/>
        <w:rFonts w:ascii="Times New Roman" w:hAnsi="Times New Roman"/>
      </w:rPr>
      <w:instrText xml:space="preserve"> PAGE </w:instrText>
    </w:r>
    <w:r>
      <w:rPr>
        <w:sz w:val="24"/>
        <w:b/>
        <w:szCs w:val="24"/>
        <w:rFonts w:ascii="Times New Roman" w:hAnsi="Times New Roman"/>
      </w:rPr>
      <w:fldChar w:fldCharType="separate"/>
    </w:r>
    <w:r>
      <w:rPr>
        <w:sz w:val="24"/>
        <w:b/>
        <w:szCs w:val="24"/>
        <w:rFonts w:ascii="Times New Roman" w:hAnsi="Times New Roman"/>
      </w:rPr>
      <w:t>10</w:t>
    </w:r>
    <w:r>
      <w:rPr>
        <w:sz w:val="24"/>
        <w:b/>
        <w:szCs w:val="24"/>
        <w:rFonts w:ascii="Times New Roman" w:hAnsi="Times New Roman"/>
      </w:rPr>
      <w:fldChar w:fldCharType="end"/>
    </w:r>
  </w:p>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acomgrade"/>
      <w:tblW w:w="9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060"/>
    </w:tblGrid>
    <w:tr>
      <w:trPr/>
      <w:tc>
        <w:tcPr>
          <w:tcW w:w="9060" w:type="dxa"/>
          <w:tcBorders>
            <w:top w:val="single" w:sz="18" w:space="0" w:color="085742"/>
            <w:left w:val="nil"/>
            <w:bottom w:val="nil"/>
            <w:right w:val="nil"/>
          </w:tcBorders>
        </w:tcPr>
        <w:p>
          <w:pPr>
            <w:pStyle w:val="Normal"/>
            <w:widowControl w:val="false"/>
            <w:tabs>
              <w:tab w:val="clear" w:pos="708"/>
              <w:tab w:val="left" w:pos="7372" w:leader="none"/>
            </w:tabs>
            <w:suppressAutoHyphens w:val="true"/>
            <w:spacing w:before="0" w:after="0"/>
            <w:jc w:val="center"/>
            <w:rPr>
              <w:rFonts w:ascii="Times New Roman" w:hAnsi="Times New Roman"/>
              <w:bCs/>
              <w:sz w:val="20"/>
              <w:szCs w:val="20"/>
            </w:rPr>
          </w:pPr>
          <w:r>
            <w:rPr>
              <w:rFonts w:eastAsia="Calibri" w:cs="Times New Roman" w:ascii="Times New Roman" w:hAnsi="Times New Roman"/>
              <w:bCs/>
              <w:kern w:val="0"/>
              <w:sz w:val="20"/>
              <w:szCs w:val="20"/>
              <w:lang w:val="pt-BR" w:bidi="ar-SA"/>
            </w:rPr>
            <w:t xml:space="preserve">FLOVET - Flora, Vegetação e Etnobotânica, Cuiabá (MT), v. X, n. X, </w:t>
          </w:r>
          <w:r>
            <w:rPr>
              <w:rFonts w:eastAsia="Calibri" w:cs="Times New Roman" w:ascii="Times New Roman" w:hAnsi="Times New Roman"/>
              <w:bCs/>
              <w:i/>
              <w:kern w:val="0"/>
              <w:sz w:val="20"/>
              <w:szCs w:val="20"/>
              <w:lang w:val="pt-BR" w:bidi="ar-SA"/>
            </w:rPr>
            <w:t>e</w:t>
          </w:r>
          <w:r>
            <w:rPr>
              <w:rFonts w:eastAsia="Calibri" w:cs="Times New Roman" w:ascii="Times New Roman" w:hAnsi="Times New Roman"/>
              <w:bCs/>
              <w:kern w:val="0"/>
              <w:sz w:val="20"/>
              <w:szCs w:val="20"/>
              <w:lang w:val="pt-BR" w:bidi="ar-SA"/>
            </w:rPr>
            <w:t>202300X, ISSN: 1806-8863, 2023</w:t>
          </w:r>
        </w:p>
        <w:p>
          <w:pPr>
            <w:pStyle w:val="Normal"/>
            <w:widowControl w:val="false"/>
            <w:tabs>
              <w:tab w:val="clear" w:pos="708"/>
              <w:tab w:val="left" w:pos="7372" w:leader="none"/>
            </w:tabs>
            <w:suppressAutoHyphens w:val="true"/>
            <w:spacing w:before="0" w:after="0"/>
            <w:jc w:val="center"/>
            <w:rPr>
              <w:rFonts w:ascii="Times New Roman" w:hAnsi="Times New Roman"/>
              <w:bCs/>
              <w:sz w:val="18"/>
              <w:szCs w:val="20"/>
            </w:rPr>
          </w:pPr>
          <w:r>
            <w:rPr>
              <w:rFonts w:eastAsia="Calibri" w:cs="Times New Roman" w:ascii="Times New Roman" w:hAnsi="Times New Roman"/>
              <w:bCs/>
              <w:kern w:val="0"/>
              <w:sz w:val="18"/>
              <w:szCs w:val="20"/>
              <w:lang w:val="pt-BR" w:bidi="ar-SA"/>
            </w:rPr>
            <w:t xml:space="preserve">DOI: XXXXXX/XX  </w:t>
          </w:r>
        </w:p>
      </w:tc>
    </w:tr>
  </w:tbl>
  <w:sdt>
    <w:sdtPr>
      <w:docPartObj>
        <w:docPartGallery w:val="Page Numbers (Bottom of Page)"/>
        <w:docPartUnique w:val="true"/>
      </w:docPartObj>
      <w:id w:val="1218225419"/>
    </w:sdtPr>
    <w:sdtContent>
      <w:p>
        <w:pPr>
          <w:pStyle w:val="Rodap"/>
          <w:spacing w:before="120" w:after="0"/>
          <w:jc w:val="right"/>
          <w:rPr>
            <w:rFonts w:ascii="Times New Roman" w:hAnsi="Times New Roman"/>
            <w:b/>
            <w:sz w:val="24"/>
            <w:szCs w:val="24"/>
          </w:rPr>
        </w:pPr>
        <w:r>
          <w:rPr>
            <w:rFonts w:ascii="Times New Roman" w:hAnsi="Times New Roman"/>
            <w:b/>
            <w:sz w:val="24"/>
            <w:szCs w:val="24"/>
          </w:rPr>
          <w:fldChar w:fldCharType="begin"/>
        </w:r>
        <w:r>
          <w:rPr>
            <w:sz w:val="24"/>
            <w:b/>
            <w:szCs w:val="24"/>
            <w:rFonts w:ascii="Times New Roman" w:hAnsi="Times New Roman"/>
          </w:rPr>
          <w:instrText xml:space="preserve"> PAGE </w:instrText>
        </w:r>
        <w:r>
          <w:rPr>
            <w:sz w:val="24"/>
            <w:b/>
            <w:szCs w:val="24"/>
            <w:rFonts w:ascii="Times New Roman" w:hAnsi="Times New Roman"/>
          </w:rPr>
          <w:fldChar w:fldCharType="separate"/>
        </w:r>
        <w:r>
          <w:rPr>
            <w:sz w:val="24"/>
            <w:b/>
            <w:szCs w:val="24"/>
            <w:rFonts w:ascii="Times New Roman" w:hAnsi="Times New Roman"/>
          </w:rPr>
          <w:t>11</w:t>
        </w:r>
        <w:r>
          <w:rPr>
            <w:sz w:val="24"/>
            <w:b/>
            <w:szCs w:val="24"/>
            <w:rFonts w:ascii="Times New Roman" w:hAnsi="Times New Roman"/>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79314867"/>
    </w:sdtPr>
    <w:sdtContent>
      <w:p>
        <w:pPr>
          <w:pStyle w:val="Rodap"/>
          <w:spacing w:before="120" w:after="0"/>
          <w:jc w:val="right"/>
          <w:rPr>
            <w:rFonts w:ascii="Times New Roman" w:hAnsi="Times New Roman"/>
            <w:b/>
            <w:sz w:val="8"/>
            <w:szCs w:val="8"/>
          </w:rPr>
        </w:pPr>
        <w:r>
          <w:rPr>
            <w:rFonts w:ascii="Times New Roman" w:hAnsi="Times New Roman"/>
            <w:b/>
            <w:sz w:val="8"/>
            <w:szCs w:val="8"/>
          </w:rPr>
        </w:r>
      </w:p>
    </w:sdtContent>
  </w:sdt>
  <w:tbl>
    <w:tblPr>
      <w:tblStyle w:val="Tabelacomgrade"/>
      <w:tblW w:w="9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060"/>
    </w:tblGrid>
    <w:tr>
      <w:trPr/>
      <w:tc>
        <w:tcPr>
          <w:tcW w:w="9060" w:type="dxa"/>
          <w:tcBorders>
            <w:top w:val="single" w:sz="18" w:space="0" w:color="085742"/>
            <w:left w:val="nil"/>
            <w:bottom w:val="nil"/>
            <w:right w:val="nil"/>
          </w:tcBorders>
        </w:tcPr>
        <w:p>
          <w:pPr>
            <w:pStyle w:val="Normal"/>
            <w:widowControl w:val="false"/>
            <w:tabs>
              <w:tab w:val="clear" w:pos="708"/>
              <w:tab w:val="left" w:pos="7372" w:leader="none"/>
            </w:tabs>
            <w:suppressAutoHyphens w:val="true"/>
            <w:spacing w:before="0" w:after="0"/>
            <w:jc w:val="center"/>
            <w:rPr>
              <w:rFonts w:ascii="Times New Roman" w:hAnsi="Times New Roman"/>
              <w:bCs/>
              <w:sz w:val="20"/>
              <w:szCs w:val="20"/>
            </w:rPr>
          </w:pPr>
          <w:bookmarkStart w:id="0" w:name="_Hlk22900831"/>
          <w:r>
            <w:rPr>
              <w:rFonts w:eastAsia="Calibri" w:cs="Times New Roman" w:ascii="Times New Roman" w:hAnsi="Times New Roman"/>
              <w:bCs/>
              <w:kern w:val="0"/>
              <w:sz w:val="20"/>
              <w:szCs w:val="20"/>
              <w:lang w:val="pt-BR" w:bidi="ar-SA"/>
            </w:rPr>
            <w:t xml:space="preserve">FLOVET - Flora, Vegetação e Etnobotânica, Cuiabá (MT), v. X, n. X, </w:t>
          </w:r>
          <w:r>
            <w:rPr>
              <w:rFonts w:eastAsia="Calibri" w:cs="Times New Roman" w:ascii="Times New Roman" w:hAnsi="Times New Roman"/>
              <w:bCs/>
              <w:i/>
              <w:kern w:val="0"/>
              <w:sz w:val="20"/>
              <w:szCs w:val="20"/>
              <w:lang w:val="pt-BR" w:bidi="ar-SA"/>
            </w:rPr>
            <w:t>e</w:t>
          </w:r>
          <w:r>
            <w:rPr>
              <w:rFonts w:eastAsia="Calibri" w:cs="Times New Roman" w:ascii="Times New Roman" w:hAnsi="Times New Roman"/>
              <w:bCs/>
              <w:kern w:val="0"/>
              <w:sz w:val="20"/>
              <w:szCs w:val="20"/>
              <w:lang w:val="pt-BR" w:bidi="ar-SA"/>
            </w:rPr>
            <w:t>202300X,</w:t>
          </w:r>
          <w:bookmarkEnd w:id="0"/>
          <w:r>
            <w:rPr>
              <w:rFonts w:eastAsia="Calibri" w:cs="Times New Roman" w:ascii="Times New Roman" w:hAnsi="Times New Roman"/>
              <w:bCs/>
              <w:kern w:val="0"/>
              <w:sz w:val="20"/>
              <w:szCs w:val="20"/>
              <w:lang w:val="pt-BR" w:bidi="ar-SA"/>
            </w:rPr>
            <w:t xml:space="preserve"> ISSN: 1806-8863, 2023</w:t>
          </w:r>
        </w:p>
        <w:p>
          <w:pPr>
            <w:pStyle w:val="Normal"/>
            <w:widowControl w:val="false"/>
            <w:tabs>
              <w:tab w:val="clear" w:pos="708"/>
              <w:tab w:val="left" w:pos="7372" w:leader="none"/>
            </w:tabs>
            <w:suppressAutoHyphens w:val="true"/>
            <w:spacing w:before="0" w:after="0"/>
            <w:jc w:val="center"/>
            <w:rPr>
              <w:rFonts w:ascii="Times New Roman" w:hAnsi="Times New Roman"/>
              <w:bCs/>
              <w:sz w:val="18"/>
              <w:szCs w:val="20"/>
            </w:rPr>
          </w:pPr>
          <w:bookmarkStart w:id="1" w:name="_Hlk133344624"/>
          <w:r>
            <w:rPr>
              <w:rFonts w:eastAsia="Calibri" w:cs="Times New Roman" w:ascii="Times New Roman" w:hAnsi="Times New Roman"/>
              <w:bCs/>
              <w:kern w:val="0"/>
              <w:sz w:val="18"/>
              <w:szCs w:val="20"/>
              <w:lang w:val="pt-BR" w:bidi="ar-SA"/>
            </w:rPr>
            <w:t xml:space="preserve">DOI: XXXXXX/XX  </w:t>
          </w:r>
          <w:bookmarkEnd w:id="1"/>
        </w:p>
      </w:tc>
    </w:tr>
  </w:tbl>
  <w:p>
    <w:pPr>
      <w:pStyle w:val="Rodap"/>
      <w:spacing w:before="120" w:after="0"/>
      <w:jc w:val="right"/>
      <w:rPr>
        <w:rFonts w:ascii="Times New Roman" w:hAnsi="Times New Roman"/>
        <w:b/>
        <w:color w:val="000000" w:themeColor="text1"/>
        <w:sz w:val="24"/>
        <w:szCs w:val="24"/>
      </w:rPr>
    </w:pPr>
    <w:r>
      <w:rPr>
        <w:rFonts w:ascii="Times New Roman" w:hAnsi="Times New Roman"/>
        <w:b/>
        <w:color w:val="000000"/>
        <w:sz w:val="24"/>
        <w:szCs w:val="24"/>
      </w:rPr>
      <w:fldChar w:fldCharType="begin"/>
    </w:r>
    <w:r>
      <w:rPr>
        <w:sz w:val="24"/>
        <w:b/>
        <w:szCs w:val="24"/>
        <w:rFonts w:ascii="Times New Roman" w:hAnsi="Times New Roman"/>
        <w:color w:val="000000"/>
      </w:rPr>
      <w:instrText xml:space="preserve"> PAGE </w:instrText>
    </w:r>
    <w:r>
      <w:rPr>
        <w:sz w:val="24"/>
        <w:b/>
        <w:szCs w:val="24"/>
        <w:rFonts w:ascii="Times New Roman" w:hAnsi="Times New Roman"/>
        <w:color w:val="000000"/>
      </w:rPr>
      <w:fldChar w:fldCharType="separate"/>
    </w:r>
    <w:r>
      <w:rPr>
        <w:sz w:val="24"/>
        <w:b/>
        <w:szCs w:val="24"/>
        <w:rFonts w:ascii="Times New Roman" w:hAnsi="Times New Roman"/>
        <w:color w:val="000000"/>
      </w:rPr>
      <w:t>1</w:t>
    </w:r>
    <w:r>
      <w:rPr>
        <w:sz w:val="24"/>
        <w:b/>
        <w:szCs w:val="24"/>
        <w:rFonts w:ascii="Times New Roman" w:hAnsi="Times New Roman"/>
        <w:color w:val="000000"/>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aderodap"/>
        <w:jc w:val="both"/>
        <w:rPr>
          <w:rFonts w:ascii="Times New Roman" w:hAnsi="Times New Roman"/>
          <w:sz w:val="18"/>
        </w:rPr>
      </w:pPr>
      <w:r>
        <w:rPr>
          <w:rStyle w:val="Caracteresdenotaderodap"/>
        </w:rPr>
        <w:footnoteRef/>
      </w:r>
      <w:r>
        <w:rPr>
          <w:rFonts w:ascii="Times New Roman" w:hAnsi="Times New Roman"/>
          <w:sz w:val="18"/>
        </w:rPr>
        <w:t xml:space="preserve"> </w:t>
      </w:r>
      <w:r>
        <w:rPr>
          <w:rFonts w:ascii="Times New Roman" w:hAnsi="Times New Roman"/>
          <w:sz w:val="18"/>
          <w:szCs w:val="18"/>
        </w:rPr>
        <w:t>Doutorado em Biotecnologia e Inovação em Saúde, Universidade Anhanguera de São Paulo (UNIAN-SP). Docente na Universidade Federal do Oeste da Bahia</w:t>
      </w:r>
      <w:r>
        <w:rPr>
          <w:rFonts w:ascii="Times New Roman" w:hAnsi="Times New Roman"/>
          <w:sz w:val="18"/>
        </w:rPr>
        <w:t xml:space="preserve"> (UFOB), Barreiras, Bahia, Brasil. Endereço para correspondência: Rua Professor José Seabra de Lemos, 316, Recanto dos Pássaros, Barreiras, Bahia, Brasil, CEP: 47808-021. </w:t>
      </w:r>
      <w:r>
        <w:rPr>
          <w:rFonts w:ascii="Times New Roman" w:hAnsi="Times New Roman"/>
          <w:b/>
          <w:bCs/>
          <w:sz w:val="18"/>
        </w:rPr>
        <w:t>ORCID</w:t>
      </w:r>
      <w:r>
        <w:rPr>
          <w:rFonts w:ascii="Times New Roman" w:hAnsi="Times New Roman"/>
          <w:sz w:val="18"/>
        </w:rPr>
        <w:t xml:space="preserve">: </w:t>
      </w:r>
      <w:hyperlink r:id="rId1">
        <w:r>
          <w:rPr>
            <w:rStyle w:val="LinkdaInternet"/>
            <w:rFonts w:ascii="Times New Roman" w:hAnsi="Times New Roman"/>
            <w:sz w:val="18"/>
          </w:rPr>
          <w:t>https://orcid.org/0000-0002-8040-013X</w:t>
        </w:r>
      </w:hyperlink>
      <w:r>
        <w:rPr>
          <w:rFonts w:ascii="Times New Roman" w:hAnsi="Times New Roman"/>
          <w:sz w:val="18"/>
        </w:rPr>
        <w:t xml:space="preserve">. </w:t>
      </w:r>
    </w:p>
    <w:p>
      <w:pPr>
        <w:pStyle w:val="Notaderodap"/>
        <w:jc w:val="both"/>
        <w:rPr>
          <w:rFonts w:ascii="Times New Roman" w:hAnsi="Times New Roman"/>
        </w:rPr>
      </w:pPr>
      <w:r>
        <w:rPr>
          <w:rFonts w:ascii="Times New Roman" w:hAnsi="Times New Roman"/>
          <w:b/>
          <w:color w:val="000000" w:themeColor="text1"/>
          <w:sz w:val="18"/>
        </w:rPr>
        <w:t>Lattes</w:t>
      </w:r>
      <w:r>
        <w:rPr>
          <w:rFonts w:ascii="Times New Roman" w:hAnsi="Times New Roman"/>
          <w:color w:val="000000" w:themeColor="text1"/>
          <w:sz w:val="18"/>
        </w:rPr>
        <w:t>:</w:t>
      </w:r>
      <w:r>
        <w:rPr>
          <w:rFonts w:ascii="Times New Roman" w:hAnsi="Times New Roman"/>
          <w:color w:val="905728"/>
          <w:sz w:val="18"/>
        </w:rPr>
        <w:t xml:space="preserve"> </w:t>
      </w:r>
      <w:hyperlink r:id="rId2">
        <w:r>
          <w:rPr>
            <w:rStyle w:val="LinkdaInternet"/>
            <w:rFonts w:ascii="Times New Roman" w:hAnsi="Times New Roman"/>
            <w:sz w:val="18"/>
          </w:rPr>
          <w:t>https://lattes.cnpq.br/1809992879364607</w:t>
        </w:r>
      </w:hyperlink>
      <w:r>
        <w:rPr>
          <w:rStyle w:val="LinkdaInternet"/>
          <w:rFonts w:ascii="Times New Roman" w:hAnsi="Times New Roman"/>
          <w:color w:val="000000"/>
          <w:sz w:val="18"/>
        </w:rPr>
        <w:t>.</w:t>
      </w:r>
      <w:r>
        <w:rPr>
          <w:rFonts w:ascii="Times New Roman" w:hAnsi="Times New Roman"/>
          <w:sz w:val="18"/>
        </w:rPr>
        <w:t xml:space="preserve"> </w:t>
      </w:r>
      <w:r>
        <w:rPr>
          <w:rFonts w:ascii="Times New Roman" w:hAnsi="Times New Roman"/>
          <w:b/>
          <w:bCs/>
          <w:sz w:val="18"/>
        </w:rPr>
        <w:t>E-mail</w:t>
      </w:r>
      <w:r>
        <w:rPr>
          <w:rFonts w:ascii="Times New Roman" w:hAnsi="Times New Roman"/>
          <w:sz w:val="18"/>
        </w:rPr>
        <w:t xml:space="preserve">: </w:t>
      </w:r>
      <w:hyperlink r:id="rId3">
        <w:r>
          <w:rPr>
            <w:rStyle w:val="LinkdaInternet"/>
            <w:rFonts w:ascii="Times New Roman" w:hAnsi="Times New Roman"/>
            <w:sz w:val="18"/>
          </w:rPr>
          <w:t>vanessa.rescia@ufob.edu.br</w:t>
        </w:r>
      </w:hyperlink>
      <w:r>
        <w:rPr>
          <w:rStyle w:val="LinkdaInternet"/>
          <w:rFonts w:ascii="Times New Roman" w:hAnsi="Times New Roman"/>
          <w:color w:val="000000"/>
          <w:sz w:val="18"/>
        </w:rPr>
        <w:t>.</w:t>
      </w:r>
    </w:p>
  </w:footnote>
  <w:footnote w:id="3">
    <w:p>
      <w:pPr>
        <w:pStyle w:val="Notaderodap"/>
        <w:jc w:val="both"/>
        <w:rPr>
          <w:rFonts w:ascii="Times New Roman" w:hAnsi="Times New Roman"/>
          <w:sz w:val="18"/>
        </w:rPr>
      </w:pPr>
      <w:r>
        <w:rPr>
          <w:rStyle w:val="Caracteresdenotaderodap"/>
        </w:rPr>
        <w:footnoteRef/>
      </w:r>
      <w:r>
        <w:rPr>
          <w:rFonts w:ascii="Times New Roman" w:hAnsi="Times New Roman"/>
        </w:rPr>
        <w:t xml:space="preserve"> </w:t>
      </w:r>
      <w:r>
        <w:rPr>
          <w:rFonts w:ascii="Times New Roman" w:hAnsi="Times New Roman"/>
          <w:sz w:val="18"/>
          <w:szCs w:val="18"/>
        </w:rPr>
        <w:t>Graduação em Farmácia, Universidade Federal do Oeste da Bahia (UFOB).</w:t>
      </w:r>
      <w:r>
        <w:rPr>
          <w:rFonts w:ascii="Times New Roman" w:hAnsi="Times New Roman"/>
          <w:sz w:val="18"/>
        </w:rPr>
        <w:t xml:space="preserve"> Mestranda no Programa Multicêntrico em Bioquímica e Biologia Molecular (UFOB), Barreiras, Bahia, Brasil. Endereço para correspondência: Rua Professor José Seabra de Lemos, 316, Recanto dos Pássaros, Barreiras, Bahia, Brasil, CEP: 47808-021.. </w:t>
      </w:r>
      <w:r>
        <w:rPr>
          <w:rFonts w:ascii="Times New Roman" w:hAnsi="Times New Roman"/>
          <w:b/>
          <w:bCs/>
          <w:sz w:val="18"/>
        </w:rPr>
        <w:t>ORCID</w:t>
      </w:r>
      <w:r>
        <w:rPr>
          <w:rFonts w:ascii="Times New Roman" w:hAnsi="Times New Roman"/>
          <w:sz w:val="18"/>
        </w:rPr>
        <w:t>:</w:t>
      </w:r>
      <w:r>
        <w:rPr>
          <w:rFonts w:ascii="Times New Roman" w:hAnsi="Times New Roman"/>
        </w:rPr>
        <w:t xml:space="preserve"> </w:t>
      </w:r>
      <w:hyperlink r:id="rId4">
        <w:r>
          <w:rPr>
            <w:rStyle w:val="LinkdaInternet"/>
            <w:rFonts w:ascii="Times New Roman" w:hAnsi="Times New Roman"/>
            <w:sz w:val="18"/>
          </w:rPr>
          <w:t>https://orcid.org/0000-0003-3757-2312</w:t>
        </w:r>
      </w:hyperlink>
      <w:r>
        <w:rPr>
          <w:rFonts w:ascii="Times New Roman" w:hAnsi="Times New Roman"/>
          <w:sz w:val="18"/>
        </w:rPr>
        <w:t xml:space="preserve">.  </w:t>
      </w:r>
    </w:p>
    <w:p>
      <w:pPr>
        <w:pStyle w:val="Notaderodap"/>
        <w:tabs>
          <w:tab w:val="clear" w:pos="708"/>
          <w:tab w:val="left" w:pos="8647" w:leader="none"/>
        </w:tabs>
        <w:jc w:val="both"/>
        <w:rPr>
          <w:rFonts w:ascii="Times New Roman" w:hAnsi="Times New Roman"/>
        </w:rPr>
      </w:pPr>
      <w:r>
        <w:rPr>
          <w:rFonts w:ascii="Times New Roman" w:hAnsi="Times New Roman"/>
          <w:b/>
          <w:color w:val="000000" w:themeColor="text1"/>
          <w:sz w:val="18"/>
        </w:rPr>
        <w:t>Lattes</w:t>
      </w:r>
      <w:r>
        <w:rPr>
          <w:rFonts w:ascii="Times New Roman" w:hAnsi="Times New Roman"/>
          <w:color w:val="000000" w:themeColor="text1"/>
          <w:sz w:val="18"/>
        </w:rPr>
        <w:t>:</w:t>
      </w:r>
      <w:r>
        <w:rPr>
          <w:rFonts w:ascii="Times New Roman" w:hAnsi="Times New Roman"/>
          <w:color w:val="905728"/>
          <w:sz w:val="18"/>
        </w:rPr>
        <w:t xml:space="preserve"> </w:t>
      </w:r>
      <w:hyperlink r:id="rId5">
        <w:r>
          <w:rPr>
            <w:rStyle w:val="LinkdaInternet"/>
            <w:rFonts w:ascii="Times New Roman" w:hAnsi="Times New Roman"/>
            <w:sz w:val="18"/>
          </w:rPr>
          <w:t>https://lattes.cnpq.br/4204570009811720</w:t>
        </w:r>
      </w:hyperlink>
      <w:r>
        <w:rPr>
          <w:rFonts w:ascii="Times New Roman" w:hAnsi="Times New Roman"/>
          <w:sz w:val="18"/>
        </w:rPr>
        <w:t xml:space="preserve">. </w:t>
      </w:r>
      <w:r>
        <w:rPr>
          <w:rFonts w:ascii="Times New Roman" w:hAnsi="Times New Roman"/>
          <w:b/>
          <w:bCs/>
          <w:sz w:val="18"/>
        </w:rPr>
        <w:t>E-mail</w:t>
      </w:r>
      <w:r>
        <w:rPr>
          <w:rFonts w:ascii="Times New Roman" w:hAnsi="Times New Roman"/>
          <w:sz w:val="18"/>
        </w:rPr>
        <w:t xml:space="preserve">: </w:t>
      </w:r>
      <w:hyperlink r:id="rId6">
        <w:r>
          <w:rPr>
            <w:rStyle w:val="LinkdaInternet"/>
            <w:rFonts w:ascii="Times New Roman" w:hAnsi="Times New Roman"/>
            <w:sz w:val="18"/>
          </w:rPr>
          <w:t>maria.soliveira@ufob.edu.br</w:t>
        </w:r>
      </w:hyperlink>
      <w:hyperlink r:id="rId7">
        <w:r>
          <w:rPr>
            <w:rFonts w:ascii="Times New Roman" w:hAnsi="Times New Roman"/>
            <w:sz w:val="18"/>
          </w:rPr>
          <w:t>.</w:t>
        </w:r>
      </w:hyperlink>
    </w:p>
  </w:footnote>
  <w:footnote w:id="4">
    <w:p>
      <w:pPr>
        <w:pStyle w:val="Notaderodap"/>
        <w:jc w:val="both"/>
        <w:rPr>
          <w:rFonts w:ascii="Times New Roman" w:hAnsi="Times New Roman"/>
          <w:sz w:val="18"/>
        </w:rPr>
      </w:pPr>
      <w:r>
        <w:rPr>
          <w:rStyle w:val="Caracteresdenotaderodap"/>
        </w:rPr>
        <w:footnoteRef/>
      </w:r>
      <w:r>
        <w:rPr>
          <w:rFonts w:ascii="Times New Roman" w:hAnsi="Times New Roman"/>
        </w:rPr>
        <w:t xml:space="preserve"> </w:t>
      </w:r>
      <w:r>
        <w:rPr>
          <w:rFonts w:ascii="Times New Roman" w:hAnsi="Times New Roman"/>
          <w:sz w:val="18"/>
          <w:szCs w:val="18"/>
        </w:rPr>
        <w:t>Graduação em Farmácia, Universidade Federal do Oeste da Bahia (UFOB).</w:t>
      </w:r>
      <w:r>
        <w:rPr>
          <w:rFonts w:ascii="Times New Roman" w:hAnsi="Times New Roman"/>
          <w:sz w:val="18"/>
        </w:rPr>
        <w:t xml:space="preserve"> Professor substituto na Universidade Federal do Oeste da Bahia (UFOB), Barreiras, Bahia, Brasil. Endereço para correspondência: Rua Professor José Seabra de Lemos, 316, Recanto dos Pássaros, Barreiras, Bahia, Brasil, CEP: 47808-021. </w:t>
      </w:r>
      <w:r>
        <w:rPr>
          <w:rFonts w:ascii="Times New Roman" w:hAnsi="Times New Roman"/>
          <w:b/>
          <w:bCs/>
          <w:sz w:val="18"/>
        </w:rPr>
        <w:t>ORCID</w:t>
      </w:r>
      <w:r>
        <w:rPr>
          <w:rFonts w:ascii="Times New Roman" w:hAnsi="Times New Roman"/>
          <w:sz w:val="18"/>
        </w:rPr>
        <w:t>:</w:t>
      </w:r>
      <w:r>
        <w:rPr/>
        <w:t xml:space="preserve"> </w:t>
      </w:r>
      <w:hyperlink r:id="rId8">
        <w:r>
          <w:rPr>
            <w:rStyle w:val="LinkdaInternet"/>
            <w:rFonts w:ascii="Times New Roman" w:hAnsi="Times New Roman"/>
            <w:sz w:val="18"/>
          </w:rPr>
          <w:t>https://orcid.org/0009-0005-4769-7575</w:t>
        </w:r>
      </w:hyperlink>
      <w:r>
        <w:rPr>
          <w:rFonts w:ascii="Times New Roman" w:hAnsi="Times New Roman"/>
          <w:sz w:val="18"/>
        </w:rPr>
        <w:t xml:space="preserve">. </w:t>
      </w:r>
    </w:p>
    <w:p>
      <w:pPr>
        <w:pStyle w:val="Notaderodap"/>
        <w:jc w:val="both"/>
        <w:rPr>
          <w:rFonts w:ascii="Times New Roman" w:hAnsi="Times New Roman"/>
        </w:rPr>
      </w:pPr>
      <w:r>
        <w:rPr>
          <w:rFonts w:ascii="Times New Roman" w:hAnsi="Times New Roman"/>
          <w:b/>
          <w:color w:val="000000" w:themeColor="text1"/>
          <w:sz w:val="18"/>
        </w:rPr>
        <w:t>Lattes</w:t>
      </w:r>
      <w:r>
        <w:rPr>
          <w:rFonts w:ascii="Times New Roman" w:hAnsi="Times New Roman"/>
          <w:color w:val="000000" w:themeColor="text1"/>
          <w:sz w:val="18"/>
        </w:rPr>
        <w:t>:</w:t>
      </w:r>
      <w:r>
        <w:rPr>
          <w:rFonts w:ascii="Times New Roman" w:hAnsi="Times New Roman"/>
          <w:color w:val="905728"/>
          <w:sz w:val="18"/>
        </w:rPr>
        <w:t xml:space="preserve"> </w:t>
      </w:r>
      <w:hyperlink r:id="rId9">
        <w:r>
          <w:rPr>
            <w:rStyle w:val="LinkdaInternet"/>
            <w:rFonts w:ascii="Times New Roman" w:hAnsi="Times New Roman"/>
            <w:sz w:val="18"/>
          </w:rPr>
          <w:t>https://lattes.cnpq.br/4069149795418933</w:t>
        </w:r>
      </w:hyperlink>
      <w:r>
        <w:rPr>
          <w:rFonts w:ascii="Times New Roman" w:hAnsi="Times New Roman"/>
          <w:sz w:val="18"/>
        </w:rPr>
        <w:t xml:space="preserve">. </w:t>
      </w:r>
      <w:r>
        <w:rPr>
          <w:rFonts w:ascii="Times New Roman" w:hAnsi="Times New Roman"/>
          <w:b/>
          <w:bCs/>
          <w:sz w:val="18"/>
        </w:rPr>
        <w:t>E-mail</w:t>
      </w:r>
      <w:r>
        <w:rPr>
          <w:rFonts w:ascii="Times New Roman" w:hAnsi="Times New Roman"/>
          <w:sz w:val="18"/>
        </w:rPr>
        <w:t xml:space="preserve">: </w:t>
      </w:r>
      <w:hyperlink r:id="rId10">
        <w:r>
          <w:rPr>
            <w:rStyle w:val="LinkdaInternet"/>
            <w:rFonts w:ascii="Times New Roman" w:hAnsi="Times New Roman"/>
            <w:sz w:val="18"/>
          </w:rPr>
          <w:t>victor.a8410@ufob.edu.br</w:t>
        </w:r>
      </w:hyperlink>
      <w:r>
        <w:rPr>
          <w:rFonts w:ascii="Times New Roman" w:hAnsi="Times New Roman"/>
          <w:sz w:val="18"/>
        </w:rPr>
        <w:t>.</w:t>
      </w:r>
    </w:p>
  </w:footnote>
  <w:footnote w:id="5">
    <w:p>
      <w:pPr>
        <w:pStyle w:val="Notaderodap"/>
        <w:jc w:val="both"/>
        <w:rPr>
          <w:rFonts w:ascii="Times New Roman" w:hAnsi="Times New Roman"/>
          <w:sz w:val="18"/>
        </w:rPr>
      </w:pPr>
      <w:r>
        <w:rPr>
          <w:rStyle w:val="Caracteresdenotaderodap"/>
        </w:rPr>
        <w:footnoteRef/>
      </w:r>
      <w:r>
        <w:rPr>
          <w:rFonts w:ascii="Times New Roman" w:hAnsi="Times New Roman"/>
        </w:rPr>
        <w:t xml:space="preserve"> </w:t>
      </w:r>
      <w:r>
        <w:rPr>
          <w:rFonts w:ascii="Times New Roman" w:hAnsi="Times New Roman"/>
          <w:sz w:val="18"/>
          <w:szCs w:val="18"/>
        </w:rPr>
        <w:t>Doutorado em Ciências Naturais, Universidade Estadual do Norte Fluminense Darcy Ribeiro (UENF)</w:t>
      </w:r>
      <w:r>
        <w:rPr>
          <w:rFonts w:ascii="Times New Roman" w:hAnsi="Times New Roman"/>
          <w:sz w:val="18"/>
        </w:rPr>
        <w:t xml:space="preserve">. </w:t>
      </w:r>
      <w:r>
        <w:rPr>
          <w:rFonts w:ascii="Times New Roman" w:hAnsi="Times New Roman"/>
          <w:sz w:val="18"/>
          <w:szCs w:val="18"/>
        </w:rPr>
        <w:t>Docente na Universidade Federal do Oeste da Bahia</w:t>
      </w:r>
      <w:r>
        <w:rPr>
          <w:rFonts w:ascii="Times New Roman" w:hAnsi="Times New Roman"/>
          <w:sz w:val="18"/>
        </w:rPr>
        <w:t xml:space="preserve"> (UFOB), Barreiras, Bahia, Brasil. Endereço para correspondência: Rua Professor José Seabra de Lemos, 316, Recanto dos Pássaros, Barreiras, Bahia, Brasil, CEP: 47808-021. </w:t>
      </w:r>
      <w:r>
        <w:rPr>
          <w:rFonts w:ascii="Times New Roman" w:hAnsi="Times New Roman"/>
          <w:b/>
          <w:bCs/>
          <w:sz w:val="18"/>
        </w:rPr>
        <w:t>ORCID</w:t>
      </w:r>
      <w:r>
        <w:rPr>
          <w:rFonts w:ascii="Times New Roman" w:hAnsi="Times New Roman"/>
          <w:sz w:val="18"/>
        </w:rPr>
        <w:t>:</w:t>
      </w:r>
      <w:r>
        <w:rPr>
          <w:rFonts w:ascii="Times New Roman" w:hAnsi="Times New Roman"/>
        </w:rPr>
        <w:t xml:space="preserve"> </w:t>
      </w:r>
      <w:hyperlink r:id="rId11">
        <w:r>
          <w:rPr>
            <w:rStyle w:val="LinkdaInternet"/>
            <w:rFonts w:ascii="Times New Roman" w:hAnsi="Times New Roman"/>
            <w:sz w:val="18"/>
          </w:rPr>
          <w:t>https://orcid.org/</w:t>
        </w:r>
      </w:hyperlink>
      <w:hyperlink r:id="rId12">
        <w:r>
          <w:rPr>
            <w:rStyle w:val="LinkdaInternet"/>
            <w:rFonts w:ascii="Times New Roman" w:hAnsi="Times New Roman"/>
            <w:sz w:val="18"/>
          </w:rPr>
          <w:t>0000-0002-6689-9819</w:t>
        </w:r>
      </w:hyperlink>
      <w:r>
        <w:rPr>
          <w:rFonts w:ascii="Times New Roman" w:hAnsi="Times New Roman"/>
          <w:sz w:val="18"/>
        </w:rPr>
        <w:t>.</w:t>
      </w:r>
    </w:p>
    <w:p>
      <w:pPr>
        <w:pStyle w:val="Notaderodap"/>
        <w:tabs>
          <w:tab w:val="clear" w:pos="708"/>
          <w:tab w:val="left" w:pos="8647" w:leader="none"/>
        </w:tabs>
        <w:jc w:val="both"/>
        <w:rPr>
          <w:rFonts w:ascii="Times New Roman" w:hAnsi="Times New Roman"/>
        </w:rPr>
      </w:pPr>
      <w:r>
        <w:rPr>
          <w:rFonts w:ascii="Times New Roman" w:hAnsi="Times New Roman"/>
          <w:b/>
          <w:color w:val="000000" w:themeColor="text1"/>
          <w:sz w:val="18"/>
        </w:rPr>
        <w:t>Lattes</w:t>
      </w:r>
      <w:r>
        <w:rPr>
          <w:rFonts w:ascii="Times New Roman" w:hAnsi="Times New Roman"/>
          <w:color w:val="000000" w:themeColor="text1"/>
          <w:sz w:val="18"/>
        </w:rPr>
        <w:t>:</w:t>
      </w:r>
      <w:r>
        <w:rPr>
          <w:rFonts w:ascii="Times New Roman" w:hAnsi="Times New Roman"/>
          <w:color w:val="905728"/>
          <w:sz w:val="18"/>
        </w:rPr>
        <w:t xml:space="preserve"> </w:t>
      </w:r>
      <w:hyperlink r:id="rId13">
        <w:r>
          <w:rPr>
            <w:rStyle w:val="LinkdaInternet"/>
            <w:rFonts w:ascii="Times New Roman" w:hAnsi="Times New Roman"/>
            <w:sz w:val="18"/>
          </w:rPr>
          <w:t>http://lattes.cnpq.br/0315367824411269</w:t>
        </w:r>
      </w:hyperlink>
      <w:r>
        <w:rPr>
          <w:rFonts w:ascii="Times New Roman" w:hAnsi="Times New Roman"/>
          <w:color w:val="000000"/>
          <w:sz w:val="18"/>
        </w:rPr>
        <w:t>.</w:t>
      </w:r>
      <w:r>
        <w:rPr>
          <w:rFonts w:ascii="Times New Roman" w:hAnsi="Times New Roman"/>
          <w:sz w:val="18"/>
        </w:rPr>
        <w:t xml:space="preserve"> </w:t>
      </w:r>
      <w:r>
        <w:rPr>
          <w:rFonts w:ascii="Times New Roman" w:hAnsi="Times New Roman"/>
          <w:b/>
          <w:bCs/>
          <w:sz w:val="18"/>
        </w:rPr>
        <w:t>E-mail</w:t>
      </w:r>
      <w:r>
        <w:rPr>
          <w:rFonts w:ascii="Times New Roman" w:hAnsi="Times New Roman"/>
          <w:sz w:val="18"/>
        </w:rPr>
        <w:t xml:space="preserve">: </w:t>
      </w:r>
      <w:r>
        <w:rPr>
          <w:rStyle w:val="LinkdaInternet"/>
          <w:rFonts w:ascii="Times New Roman" w:hAnsi="Times New Roman"/>
          <w:sz w:val="18"/>
        </w:rPr>
        <w:t>marina.paes@ufob.edu.br</w:t>
      </w:r>
      <w:r>
        <w:rPr>
          <w:rStyle w:val="LinkdaInternet"/>
          <w:rFonts w:ascii="Times New Roman" w:hAnsi="Times New Roman"/>
          <w:color w:val="000000"/>
          <w:sz w:val="18"/>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acomgrade"/>
      <w:tblW w:w="90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061"/>
    </w:tblGrid>
    <w:tr>
      <w:trPr>
        <w:trHeight w:val="1128" w:hRule="atLeast"/>
      </w:trPr>
      <w:tc>
        <w:tcPr>
          <w:tcW w:w="9061" w:type="dxa"/>
          <w:tcBorders>
            <w:top w:val="nil"/>
            <w:left w:val="nil"/>
            <w:bottom w:val="nil"/>
            <w:right w:val="nil"/>
          </w:tcBorders>
          <w:shd w:color="auto" w:fill="auto" w:val="clear"/>
          <w:vAlign w:val="center"/>
        </w:tcPr>
        <w:p>
          <w:pPr>
            <w:pStyle w:val="Cabealho"/>
            <w:widowControl w:val="false"/>
            <w:suppressAutoHyphens w:val="true"/>
            <w:spacing w:before="0" w:after="0"/>
            <w:ind w:left="180" w:hanging="0"/>
            <w:jc w:val="center"/>
            <w:rPr>
              <w:rFonts w:ascii="Times New Roman" w:hAnsi="Times New Roman"/>
              <w:sz w:val="20"/>
              <w:szCs w:val="20"/>
            </w:rPr>
          </w:pPr>
          <w:r>
            <w:rPr/>
            <w:drawing>
              <wp:inline distT="0" distB="0" distL="0" distR="0">
                <wp:extent cx="3181985" cy="1428750"/>
                <wp:effectExtent l="0" t="0" r="0" b="0"/>
                <wp:docPr id="6"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2" descr=""/>
                        <pic:cNvPicPr>
                          <a:picLocks noChangeAspect="1" noChangeArrowheads="1"/>
                        </pic:cNvPicPr>
                      </pic:nvPicPr>
                      <pic:blipFill>
                        <a:blip r:embed="rId1"/>
                        <a:srcRect l="7456" t="10598" r="7193" b="10041"/>
                        <a:stretch>
                          <a:fillRect/>
                        </a:stretch>
                      </pic:blipFill>
                      <pic:spPr bwMode="auto">
                        <a:xfrm>
                          <a:off x="0" y="0"/>
                          <a:ext cx="3181985" cy="1428750"/>
                        </a:xfrm>
                        <a:prstGeom prst="rect">
                          <a:avLst/>
                        </a:prstGeom>
                      </pic:spPr>
                    </pic:pic>
                  </a:graphicData>
                </a:graphic>
              </wp:inline>
            </w:drawing>
          </w:r>
          <w:r>
            <w:rPr>
              <w:rFonts w:eastAsia="Calibri" w:cs="Times New Roman" w:ascii="Times New Roman" w:hAnsi="Times New Roman"/>
              <w:kern w:val="0"/>
              <w:sz w:val="20"/>
              <w:szCs w:val="20"/>
              <w:lang w:val="es-VE" w:eastAsia="es-VE" w:bidi="ar-SA"/>
            </w:rPr>
            <w:t xml:space="preserve"> </w:t>
          </w:r>
        </w:p>
      </w:tc>
    </w:tr>
  </w:tbl>
  <w:p>
    <w:pPr>
      <w:pStyle w:val="Cabealho"/>
      <w:tabs>
        <w:tab w:val="left" w:pos="3969" w:leader="none"/>
        <w:tab w:val="center" w:pos="4252" w:leader="none"/>
        <w:tab w:val="left" w:pos="4536" w:leader="none"/>
        <w:tab w:val="left" w:pos="5571" w:leader="none"/>
        <w:tab w:val="right" w:pos="7571" w:leader="none"/>
        <w:tab w:val="right" w:pos="8504" w:leader="none"/>
      </w:tabs>
      <w:rPr>
        <w:rFonts w:ascii="Times New Roman" w:hAnsi="Times New Roman"/>
        <w:sz w:val="20"/>
        <w:szCs w:val="20"/>
        <w:lang w:val="en-US"/>
      </w:rPr>
    </w:pPr>
    <w:r>
      <w:rPr>
        <w:rFonts w:ascii="Times New Roman" w:hAnsi="Times New Roman"/>
        <w:sz w:val="20"/>
        <w:szCs w:val="20"/>
        <w:lang w:val="en-US"/>
      </w:rPr>
      <mc:AlternateContent>
        <mc:Choice Requires="wps">
          <w:drawing>
            <wp:anchor behindDoc="1" distT="0" distB="0" distL="0" distR="0" simplePos="0" locked="0" layoutInCell="0" allowOverlap="1" relativeHeight="2" wp14:anchorId="495DBAA6">
              <wp:simplePos x="0" y="0"/>
              <wp:positionH relativeFrom="page">
                <wp:align>left</wp:align>
              </wp:positionH>
              <wp:positionV relativeFrom="paragraph">
                <wp:posOffset>-2150745</wp:posOffset>
              </wp:positionV>
              <wp:extent cx="7562850" cy="2286000"/>
              <wp:effectExtent l="0" t="0" r="0" b="0"/>
              <wp:wrapNone/>
              <wp:docPr id="7" name="Retângulo 2"/>
              <a:graphic xmlns:a="http://schemas.openxmlformats.org/drawingml/2006/main">
                <a:graphicData uri="http://schemas.microsoft.com/office/word/2010/wordprocessingShape">
                  <wps:wsp>
                    <wps:cNvSpPr/>
                    <wps:spPr>
                      <a:xfrm>
                        <a:off x="0" y="0"/>
                        <a:ext cx="7562880" cy="2286000"/>
                      </a:xfrm>
                      <a:prstGeom prst="rect">
                        <a:avLst/>
                      </a:prstGeom>
                      <a:solidFill>
                        <a:srgbClr val="085742"/>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tângulo 2" path="m0,0l-2147483645,0l-2147483645,-2147483646l0,-2147483646xe" fillcolor="#085742" stroked="f" o:allowincell="f" style="position:absolute;margin-left:0pt;margin-top:-169.35pt;width:595.45pt;height:179.95pt;mso-wrap-style:none;v-text-anchor:middle;mso-position-horizontal:left;mso-position-horizontal-relative:page" wp14:anchorId="495DBAA6">
              <v:fill o:detectmouseclick="t" type="solid" color2="#f7a8bd"/>
              <v:stroke color="#3465a4" weight="12600" joinstyle="miter" endcap="flat"/>
              <w10:wrap type="none"/>
            </v:rect>
          </w:pict>
        </mc:Fallback>
      </mc:AlternateContent>
      <w:drawing>
        <wp:anchor behindDoc="1" distT="0" distB="0" distL="0" distR="0" simplePos="0" locked="0" layoutInCell="0" allowOverlap="1" relativeHeight="3">
          <wp:simplePos x="0" y="0"/>
          <wp:positionH relativeFrom="column">
            <wp:posOffset>5871845</wp:posOffset>
          </wp:positionH>
          <wp:positionV relativeFrom="paragraph">
            <wp:posOffset>-1598295</wp:posOffset>
          </wp:positionV>
          <wp:extent cx="518795" cy="180975"/>
          <wp:effectExtent l="0" t="0" r="0" b="0"/>
          <wp:wrapNone/>
          <wp:docPr id="8" name="Imagen 4" descr="C:\Users\LACB1\Desktop\by-nc-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4" descr="C:\Users\LACB1\Desktop\by-nc-nd.png"/>
                  <pic:cNvPicPr>
                    <a:picLocks noChangeAspect="1" noChangeArrowheads="1"/>
                  </pic:cNvPicPr>
                </pic:nvPicPr>
                <pic:blipFill>
                  <a:blip r:embed="rId2"/>
                  <a:stretch>
                    <a:fillRect/>
                  </a:stretch>
                </pic:blipFill>
                <pic:spPr bwMode="auto">
                  <a:xfrm>
                    <a:off x="0" y="0"/>
                    <a:ext cx="518795" cy="180975"/>
                  </a:xfrm>
                  <a:prstGeom prst="rect">
                    <a:avLst/>
                  </a:prstGeom>
                </pic:spPr>
              </pic:pic>
            </a:graphicData>
          </a:graphic>
        </wp:anchor>
      </w:drawing>
    </w:r>
  </w:p>
</w:hdr>
</file>

<file path=word/settings.xml><?xml version="1.0" encoding="utf-8"?>
<w:settings xmlns:w="http://schemas.openxmlformats.org/wordprocessingml/2006/main">
  <w:zoom w:percent="140"/>
  <w:defaultTabStop w:val="708"/>
  <w:autoHyphenation w:val="true"/>
  <w:evenAndOddHeaders/>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pt-BR" w:eastAsia="en-US" w:bidi="ar-SA"/>
    </w:rPr>
  </w:style>
  <w:style w:type="paragraph" w:styleId="Ttulo1">
    <w:name w:val="Heading 1"/>
    <w:basedOn w:val="Normal"/>
    <w:next w:val="Normal"/>
    <w:link w:val="Ttulo1Char"/>
    <w:uiPriority w:val="9"/>
    <w:qFormat/>
    <w:rsid w:val="009a78b8"/>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Ttulo2">
    <w:name w:val="Heading 2"/>
    <w:basedOn w:val="Normal"/>
    <w:next w:val="Normal"/>
    <w:link w:val="Ttulo2Char"/>
    <w:uiPriority w:val="9"/>
    <w:semiHidden/>
    <w:unhideWhenUsed/>
    <w:qFormat/>
    <w:rsid w:val="004c075b"/>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paragraph" w:styleId="Ttulo3">
    <w:name w:val="Heading 3"/>
    <w:basedOn w:val="Normal"/>
    <w:link w:val="Ttulo3Char"/>
    <w:uiPriority w:val="9"/>
    <w:qFormat/>
    <w:rsid w:val="0075274e"/>
    <w:pPr>
      <w:spacing w:lineRule="auto" w:line="240" w:beforeAutospacing="1" w:afterAutospacing="1"/>
      <w:outlineLvl w:val="2"/>
    </w:pPr>
    <w:rPr>
      <w:rFonts w:ascii="Times New Roman" w:hAnsi="Times New Roman" w:eastAsia="Times New Roman"/>
      <w:b/>
      <w:bCs/>
      <w:sz w:val="27"/>
      <w:szCs w:val="27"/>
      <w:lang w:eastAsia="pt-BR"/>
    </w:rPr>
  </w:style>
  <w:style w:type="paragraph" w:styleId="Ttulo4">
    <w:name w:val="Heading 4"/>
    <w:basedOn w:val="Normal"/>
    <w:link w:val="Ttulo4Char"/>
    <w:uiPriority w:val="9"/>
    <w:qFormat/>
    <w:rsid w:val="0075274e"/>
    <w:pPr>
      <w:spacing w:lineRule="auto" w:line="240" w:beforeAutospacing="1" w:afterAutospacing="1"/>
      <w:outlineLvl w:val="3"/>
    </w:pPr>
    <w:rPr>
      <w:rFonts w:ascii="Times New Roman" w:hAnsi="Times New Roman" w:eastAsia="Times New Roman"/>
      <w:b/>
      <w:bCs/>
      <w:sz w:val="24"/>
      <w:szCs w:val="24"/>
      <w:lang w:eastAsia="pt-BR"/>
    </w:rPr>
  </w:style>
  <w:style w:type="paragraph" w:styleId="Ttulo5">
    <w:name w:val="Heading 5"/>
    <w:basedOn w:val="Normal"/>
    <w:next w:val="Normal"/>
    <w:link w:val="Ttulo5Char"/>
    <w:uiPriority w:val="9"/>
    <w:semiHidden/>
    <w:unhideWhenUsed/>
    <w:qFormat/>
    <w:rsid w:val="004c075b"/>
    <w:pPr>
      <w:keepNext w:val="true"/>
      <w:keepLines/>
      <w:spacing w:before="40" w:after="0"/>
      <w:outlineLvl w:val="4"/>
    </w:pPr>
    <w:rPr>
      <w:rFonts w:ascii="Calibri Light" w:hAnsi="Calibri Light" w:eastAsia="" w:cs="" w:asciiTheme="majorHAnsi" w:cstheme="majorBidi" w:eastAsiaTheme="majorEastAsia" w:hAnsiTheme="majorHAnsi"/>
      <w:color w:val="2F5496" w:themeColor="accent1" w:themeShade="bf"/>
    </w:rPr>
  </w:style>
  <w:style w:type="paragraph" w:styleId="Ttulo6">
    <w:name w:val="Heading 6"/>
    <w:basedOn w:val="Normal"/>
    <w:next w:val="Normal"/>
    <w:link w:val="Ttulo6Char"/>
    <w:uiPriority w:val="9"/>
    <w:semiHidden/>
    <w:unhideWhenUsed/>
    <w:qFormat/>
    <w:rsid w:val="00590c12"/>
    <w:pPr>
      <w:keepNext w:val="true"/>
      <w:keepLines/>
      <w:spacing w:before="40" w:after="0"/>
      <w:outlineLvl w:val="5"/>
    </w:pPr>
    <w:rPr>
      <w:rFonts w:ascii="Calibri Light" w:hAnsi="Calibri Light" w:eastAsia="" w:cs="" w:asciiTheme="majorHAnsi" w:cstheme="majorBidi" w:eastAsiaTheme="majorEastAsia" w:hAnsiTheme="majorHAnsi"/>
      <w:color w:val="1F3763" w:themeColor="accent1" w:themeShade="7f"/>
    </w:rPr>
  </w:style>
  <w:style w:type="character" w:styleId="DefaultParagraphFont" w:default="1">
    <w:name w:val="Default Paragraph Font"/>
    <w:uiPriority w:val="1"/>
    <w:semiHidden/>
    <w:unhideWhenUsed/>
    <w:qFormat/>
    <w:rPr/>
  </w:style>
  <w:style w:type="character" w:styleId="Hps" w:customStyle="1">
    <w:name w:val="hps"/>
    <w:basedOn w:val="DefaultParagraphFont"/>
    <w:qFormat/>
    <w:rsid w:val="00a071d2"/>
    <w:rPr/>
  </w:style>
  <w:style w:type="character" w:styleId="TextodenotaderodapChar" w:customStyle="1">
    <w:name w:val="Texto de nota de rodapé Char"/>
    <w:qFormat/>
    <w:rsid w:val="00a071d2"/>
    <w:rPr>
      <w:sz w:val="20"/>
      <w:szCs w:val="20"/>
    </w:rPr>
  </w:style>
  <w:style w:type="character" w:styleId="Caracteresdenotaderodap">
    <w:name w:val="Caracteres de nota de rodapé"/>
    <w:unhideWhenUsed/>
    <w:qFormat/>
    <w:rsid w:val="00a071d2"/>
    <w:rPr>
      <w:vertAlign w:val="superscript"/>
    </w:rPr>
  </w:style>
  <w:style w:type="character" w:styleId="Ncoradanotaderodap">
    <w:name w:val="Footnote Reference"/>
    <w:rPr>
      <w:vertAlign w:val="superscript"/>
    </w:rPr>
  </w:style>
  <w:style w:type="character" w:styleId="CabealhoChar" w:customStyle="1">
    <w:name w:val="Cabeçalho Char"/>
    <w:basedOn w:val="DefaultParagraphFont"/>
    <w:uiPriority w:val="99"/>
    <w:qFormat/>
    <w:rsid w:val="009d6755"/>
    <w:rPr/>
  </w:style>
  <w:style w:type="character" w:styleId="RodapChar" w:customStyle="1">
    <w:name w:val="Rodapé Char"/>
    <w:basedOn w:val="DefaultParagraphFont"/>
    <w:uiPriority w:val="99"/>
    <w:qFormat/>
    <w:rsid w:val="009d6755"/>
    <w:rPr/>
  </w:style>
  <w:style w:type="character" w:styleId="TextodebaloChar" w:customStyle="1">
    <w:name w:val="Texto de balão Char"/>
    <w:link w:val="BalloonText"/>
    <w:uiPriority w:val="99"/>
    <w:semiHidden/>
    <w:qFormat/>
    <w:rsid w:val="00380947"/>
    <w:rPr>
      <w:rFonts w:ascii="Tahoma" w:hAnsi="Tahoma" w:cs="Tahoma"/>
      <w:sz w:val="16"/>
      <w:szCs w:val="16"/>
    </w:rPr>
  </w:style>
  <w:style w:type="character" w:styleId="Pagenumber">
    <w:name w:val="page number"/>
    <w:basedOn w:val="DefaultParagraphFont"/>
    <w:uiPriority w:val="99"/>
    <w:unhideWhenUsed/>
    <w:qFormat/>
    <w:rsid w:val="00ec2281"/>
    <w:rPr/>
  </w:style>
  <w:style w:type="character" w:styleId="TextodecomentrioChar" w:customStyle="1">
    <w:name w:val="Texto de comentário Char"/>
    <w:link w:val="Annotationtext"/>
    <w:qFormat/>
    <w:rsid w:val="00e14571"/>
    <w:rPr>
      <w:rFonts w:ascii="Times New Roman" w:hAnsi="Times New Roman" w:eastAsia="Times New Roman" w:cs="Times New Roman"/>
      <w:sz w:val="20"/>
      <w:szCs w:val="20"/>
      <w:lang w:val="pt-PT" w:eastAsia="pt-BR"/>
    </w:rPr>
  </w:style>
  <w:style w:type="character" w:styleId="LinkdaInternet">
    <w:name w:val="Hyperlink"/>
    <w:basedOn w:val="DefaultParagraphFont"/>
    <w:uiPriority w:val="99"/>
    <w:unhideWhenUsed/>
    <w:rsid w:val="00322054"/>
    <w:rPr>
      <w:color w:val="0563C1" w:themeColor="hyperlink"/>
      <w:u w:val="single"/>
    </w:rPr>
  </w:style>
  <w:style w:type="character" w:styleId="MenoPendente1" w:customStyle="1">
    <w:name w:val="Menção Pendente1"/>
    <w:basedOn w:val="DefaultParagraphFont"/>
    <w:uiPriority w:val="99"/>
    <w:semiHidden/>
    <w:unhideWhenUsed/>
    <w:qFormat/>
    <w:rsid w:val="00322054"/>
    <w:rPr>
      <w:color w:val="605E5C"/>
      <w:shd w:fill="E1DFDD" w:val="clear"/>
    </w:rPr>
  </w:style>
  <w:style w:type="character" w:styleId="Linkdainternetvisitado">
    <w:name w:val="FollowedHyperlink"/>
    <w:basedOn w:val="DefaultParagraphFont"/>
    <w:uiPriority w:val="99"/>
    <w:semiHidden/>
    <w:unhideWhenUsed/>
    <w:rsid w:val="000954c4"/>
    <w:rPr>
      <w:color w:val="954F72" w:themeColor="followedHyperlink"/>
      <w:u w:val="single"/>
    </w:rPr>
  </w:style>
  <w:style w:type="character" w:styleId="Strong">
    <w:name w:val="Strong"/>
    <w:qFormat/>
    <w:rPr>
      <w:b/>
      <w:bCs/>
    </w:rPr>
  </w:style>
  <w:style w:type="character" w:styleId="Nfase">
    <w:name w:val="Emphasis"/>
    <w:basedOn w:val="DefaultParagraphFont"/>
    <w:uiPriority w:val="20"/>
    <w:qFormat/>
    <w:rsid w:val="0075274e"/>
    <w:rPr>
      <w:i/>
      <w:iCs/>
    </w:rPr>
  </w:style>
  <w:style w:type="character" w:styleId="Ttulo3Char" w:customStyle="1">
    <w:name w:val="Título 3 Char"/>
    <w:basedOn w:val="DefaultParagraphFont"/>
    <w:uiPriority w:val="9"/>
    <w:qFormat/>
    <w:rsid w:val="0075274e"/>
    <w:rPr>
      <w:rFonts w:ascii="Times New Roman" w:hAnsi="Times New Roman" w:eastAsia="Times New Roman"/>
      <w:b/>
      <w:bCs/>
      <w:sz w:val="27"/>
      <w:szCs w:val="27"/>
    </w:rPr>
  </w:style>
  <w:style w:type="character" w:styleId="Ttulo4Char" w:customStyle="1">
    <w:name w:val="Título 4 Char"/>
    <w:basedOn w:val="DefaultParagraphFont"/>
    <w:uiPriority w:val="9"/>
    <w:qFormat/>
    <w:rsid w:val="0075274e"/>
    <w:rPr>
      <w:rFonts w:ascii="Times New Roman" w:hAnsi="Times New Roman" w:eastAsia="Times New Roman"/>
      <w:b/>
      <w:bCs/>
      <w:sz w:val="24"/>
      <w:szCs w:val="24"/>
    </w:rPr>
  </w:style>
  <w:style w:type="character" w:styleId="Pr-formataoHTMLChar" w:customStyle="1">
    <w:name w:val="Pré-formatação HTML Char"/>
    <w:basedOn w:val="DefaultParagraphFont"/>
    <w:link w:val="HTMLPreformatted"/>
    <w:uiPriority w:val="99"/>
    <w:semiHidden/>
    <w:qFormat/>
    <w:rsid w:val="004c075b"/>
    <w:rPr>
      <w:rFonts w:ascii="Courier New" w:hAnsi="Courier New" w:eastAsia="Times New Roman" w:cs="Courier New"/>
    </w:rPr>
  </w:style>
  <w:style w:type="character" w:styleId="Ttulo5Char" w:customStyle="1">
    <w:name w:val="Título 5 Char"/>
    <w:basedOn w:val="DefaultParagraphFont"/>
    <w:uiPriority w:val="9"/>
    <w:semiHidden/>
    <w:qFormat/>
    <w:rsid w:val="004c075b"/>
    <w:rPr>
      <w:rFonts w:ascii="Calibri Light" w:hAnsi="Calibri Light" w:eastAsia="" w:cs="" w:asciiTheme="majorHAnsi" w:cstheme="majorBidi" w:eastAsiaTheme="majorEastAsia" w:hAnsiTheme="majorHAnsi"/>
      <w:color w:val="2F5496" w:themeColor="accent1" w:themeShade="bf"/>
      <w:sz w:val="22"/>
      <w:szCs w:val="22"/>
      <w:lang w:eastAsia="en-US"/>
    </w:rPr>
  </w:style>
  <w:style w:type="character" w:styleId="Ttulo2Char" w:customStyle="1">
    <w:name w:val="Título 2 Char"/>
    <w:basedOn w:val="DefaultParagraphFont"/>
    <w:uiPriority w:val="9"/>
    <w:semiHidden/>
    <w:qFormat/>
    <w:rsid w:val="004c075b"/>
    <w:rPr>
      <w:rFonts w:ascii="Calibri Light" w:hAnsi="Calibri Light" w:eastAsia="" w:cs="" w:asciiTheme="majorHAnsi" w:cstheme="majorBidi" w:eastAsiaTheme="majorEastAsia" w:hAnsiTheme="majorHAnsi"/>
      <w:color w:val="2F5496" w:themeColor="accent1" w:themeShade="bf"/>
      <w:sz w:val="26"/>
      <w:szCs w:val="26"/>
      <w:lang w:eastAsia="en-US"/>
    </w:rPr>
  </w:style>
  <w:style w:type="character" w:styleId="Partesuperior-zdoformulrioChar" w:customStyle="1">
    <w:name w:val="Parte superior-z do formulário Char"/>
    <w:basedOn w:val="DefaultParagraphFont"/>
    <w:link w:val="HTMLTopofForm"/>
    <w:uiPriority w:val="99"/>
    <w:semiHidden/>
    <w:qFormat/>
    <w:rsid w:val="004c075b"/>
    <w:rPr>
      <w:rFonts w:ascii="Arial" w:hAnsi="Arial" w:eastAsia="Times New Roman" w:cs="Arial"/>
      <w:vanish/>
      <w:sz w:val="16"/>
      <w:szCs w:val="16"/>
    </w:rPr>
  </w:style>
  <w:style w:type="character" w:styleId="Gi" w:customStyle="1">
    <w:name w:val="gi"/>
    <w:basedOn w:val="DefaultParagraphFont"/>
    <w:qFormat/>
    <w:rsid w:val="003f1d14"/>
    <w:rPr/>
  </w:style>
  <w:style w:type="character" w:styleId="Qu" w:customStyle="1">
    <w:name w:val="qu"/>
    <w:basedOn w:val="DefaultParagraphFont"/>
    <w:qFormat/>
    <w:rsid w:val="003f1d14"/>
    <w:rPr/>
  </w:style>
  <w:style w:type="character" w:styleId="Gd" w:customStyle="1">
    <w:name w:val="gd"/>
    <w:basedOn w:val="DefaultParagraphFont"/>
    <w:qFormat/>
    <w:rsid w:val="003f1d14"/>
    <w:rPr/>
  </w:style>
  <w:style w:type="character" w:styleId="Go" w:customStyle="1">
    <w:name w:val="go"/>
    <w:basedOn w:val="DefaultParagraphFont"/>
    <w:qFormat/>
    <w:rsid w:val="003f1d14"/>
    <w:rPr/>
  </w:style>
  <w:style w:type="character" w:styleId="Ttulo1Char" w:customStyle="1">
    <w:name w:val="Título 1 Char"/>
    <w:basedOn w:val="DefaultParagraphFont"/>
    <w:uiPriority w:val="9"/>
    <w:qFormat/>
    <w:rsid w:val="009a78b8"/>
    <w:rPr>
      <w:rFonts w:ascii="Calibri Light" w:hAnsi="Calibri Light" w:eastAsia="" w:cs="" w:asciiTheme="majorHAnsi" w:cstheme="majorBidi" w:eastAsiaTheme="majorEastAsia" w:hAnsiTheme="majorHAnsi"/>
      <w:color w:val="2F5496" w:themeColor="accent1" w:themeShade="bf"/>
      <w:sz w:val="32"/>
      <w:szCs w:val="32"/>
      <w:lang w:eastAsia="en-US"/>
    </w:rPr>
  </w:style>
  <w:style w:type="character" w:styleId="Orcid-id-https" w:customStyle="1">
    <w:name w:val="orcid-id-https"/>
    <w:basedOn w:val="DefaultParagraphFont"/>
    <w:qFormat/>
    <w:rsid w:val="00346a6c"/>
    <w:rPr/>
  </w:style>
  <w:style w:type="character" w:styleId="Ttulo6Char" w:customStyle="1">
    <w:name w:val="Título 6 Char"/>
    <w:basedOn w:val="DefaultParagraphFont"/>
    <w:uiPriority w:val="9"/>
    <w:semiHidden/>
    <w:qFormat/>
    <w:rsid w:val="00590c12"/>
    <w:rPr>
      <w:rFonts w:ascii="Calibri Light" w:hAnsi="Calibri Light" w:eastAsia="" w:cs="" w:asciiTheme="majorHAnsi" w:cstheme="majorBidi" w:eastAsiaTheme="majorEastAsia" w:hAnsiTheme="majorHAnsi"/>
      <w:color w:val="1F3763" w:themeColor="accent1" w:themeShade="7f"/>
      <w:sz w:val="22"/>
      <w:szCs w:val="22"/>
      <w:lang w:eastAsia="en-US"/>
    </w:rPr>
  </w:style>
  <w:style w:type="character" w:styleId="Annotationreference">
    <w:name w:val="annotation reference"/>
    <w:basedOn w:val="DefaultParagraphFont"/>
    <w:uiPriority w:val="99"/>
    <w:semiHidden/>
    <w:unhideWhenUsed/>
    <w:qFormat/>
    <w:rsid w:val="00080df0"/>
    <w:rPr>
      <w:sz w:val="16"/>
      <w:szCs w:val="16"/>
    </w:rPr>
  </w:style>
  <w:style w:type="character" w:styleId="Fontstyle01" w:customStyle="1">
    <w:name w:val="fontstyle01"/>
    <w:basedOn w:val="DefaultParagraphFont"/>
    <w:qFormat/>
    <w:rsid w:val="008d3c6c"/>
    <w:rPr>
      <w:rFonts w:ascii="Georgia" w:hAnsi="Georgia"/>
      <w:b w:val="false"/>
      <w:bCs w:val="false"/>
      <w:i w:val="false"/>
      <w:iCs w:val="false"/>
      <w:color w:val="000000"/>
      <w:sz w:val="24"/>
      <w:szCs w:val="24"/>
    </w:rPr>
  </w:style>
  <w:style w:type="character" w:styleId="Fontstyle21" w:customStyle="1">
    <w:name w:val="fontstyle21"/>
    <w:basedOn w:val="DefaultParagraphFont"/>
    <w:qFormat/>
    <w:rsid w:val="008d3c6c"/>
    <w:rPr>
      <w:rFonts w:ascii="Georgia" w:hAnsi="Georgia"/>
      <w:b/>
      <w:bCs/>
      <w:i w:val="false"/>
      <w:iCs w:val="false"/>
      <w:color w:val="000000"/>
      <w:sz w:val="24"/>
      <w:szCs w:val="24"/>
    </w:rPr>
  </w:style>
  <w:style w:type="character" w:styleId="AssuntodocomentrioChar" w:customStyle="1">
    <w:name w:val="Assunto do comentário Char"/>
    <w:basedOn w:val="TextodecomentrioChar"/>
    <w:link w:val="Annotationsubject"/>
    <w:uiPriority w:val="99"/>
    <w:semiHidden/>
    <w:qFormat/>
    <w:rsid w:val="0066099c"/>
    <w:rPr>
      <w:rFonts w:ascii="Times New Roman" w:hAnsi="Times New Roman" w:eastAsia="Times New Roman" w:cs="Times New Roman"/>
      <w:b/>
      <w:bCs/>
      <w:sz w:val="20"/>
      <w:szCs w:val="20"/>
      <w:lang w:val="pt-PT" w:eastAsia="en-US"/>
    </w:rPr>
  </w:style>
  <w:style w:type="character" w:styleId="UnresolvedMention">
    <w:name w:val="Unresolved Mention"/>
    <w:basedOn w:val="DefaultParagraphFont"/>
    <w:uiPriority w:val="99"/>
    <w:semiHidden/>
    <w:unhideWhenUsed/>
    <w:qFormat/>
    <w:rsid w:val="009d5113"/>
    <w:rPr>
      <w:color w:val="605E5C"/>
      <w:shd w:fill="E1DFDD" w:val="clear"/>
    </w:rPr>
  </w:style>
  <w:style w:type="character" w:styleId="Caracteresdenotadefim">
    <w:name w:val="Caracteres de nota de fim"/>
    <w:qFormat/>
    <w:rPr>
      <w:vertAlign w:val="superscript"/>
    </w:rPr>
  </w:style>
  <w:style w:type="character" w:styleId="Ncoradanotadefim">
    <w:name w:val="Endnote Reference"/>
    <w:rPr>
      <w:vertAlign w:val="superscrip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Default" w:customStyle="1">
    <w:name w:val="Default"/>
    <w:qFormat/>
    <w:rsid w:val="00a071d2"/>
    <w:pPr>
      <w:widowControl/>
      <w:suppressAutoHyphens w:val="true"/>
      <w:bidi w:val="0"/>
      <w:spacing w:before="0" w:after="0"/>
      <w:jc w:val="left"/>
    </w:pPr>
    <w:rPr>
      <w:rFonts w:ascii="Times New Roman" w:hAnsi="Times New Roman" w:eastAsia="Calibri" w:cs="Times New Roman"/>
      <w:color w:val="000000"/>
      <w:kern w:val="0"/>
      <w:sz w:val="24"/>
      <w:szCs w:val="24"/>
      <w:lang w:val="pt-BR" w:eastAsia="en-US" w:bidi="ar-SA"/>
    </w:rPr>
  </w:style>
  <w:style w:type="paragraph" w:styleId="Notaderodap">
    <w:name w:val="Footnote Text"/>
    <w:basedOn w:val="Normal"/>
    <w:link w:val="TextodenotaderodapChar"/>
    <w:unhideWhenUsed/>
    <w:rsid w:val="00a071d2"/>
    <w:pPr>
      <w:spacing w:lineRule="auto" w:line="240" w:before="0" w:after="0"/>
    </w:pPr>
    <w:rPr>
      <w:sz w:val="20"/>
      <w:szCs w:val="20"/>
    </w:rPr>
  </w:style>
  <w:style w:type="paragraph" w:styleId="CabealhoeRodap">
    <w:name w:val="Cabeçalho e Rodapé"/>
    <w:basedOn w:val="Normal"/>
    <w:qFormat/>
    <w:pPr/>
    <w:rPr/>
  </w:style>
  <w:style w:type="paragraph" w:styleId="Cabealho">
    <w:name w:val="Header"/>
    <w:basedOn w:val="Normal"/>
    <w:link w:val="CabealhoChar"/>
    <w:uiPriority w:val="99"/>
    <w:unhideWhenUsed/>
    <w:rsid w:val="009d6755"/>
    <w:pPr>
      <w:tabs>
        <w:tab w:val="clear" w:pos="708"/>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9d6755"/>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baloChar"/>
    <w:uiPriority w:val="99"/>
    <w:semiHidden/>
    <w:unhideWhenUsed/>
    <w:qFormat/>
    <w:rsid w:val="00380947"/>
    <w:pPr>
      <w:spacing w:lineRule="auto" w:line="240" w:before="0" w:after="0"/>
    </w:pPr>
    <w:rPr>
      <w:rFonts w:ascii="Tahoma" w:hAnsi="Tahoma" w:cs="Tahoma"/>
      <w:sz w:val="16"/>
      <w:szCs w:val="16"/>
    </w:rPr>
  </w:style>
  <w:style w:type="paragraph" w:styleId="Annotationtext">
    <w:name w:val="annotation text"/>
    <w:basedOn w:val="Normal"/>
    <w:link w:val="TextodecomentrioChar"/>
    <w:unhideWhenUsed/>
    <w:qFormat/>
    <w:rsid w:val="00e14571"/>
    <w:pPr>
      <w:spacing w:lineRule="auto" w:line="240" w:before="0" w:after="0"/>
    </w:pPr>
    <w:rPr>
      <w:rFonts w:ascii="Times New Roman" w:hAnsi="Times New Roman" w:eastAsia="Times New Roman"/>
      <w:sz w:val="20"/>
      <w:szCs w:val="20"/>
      <w:lang w:val="pt-PT" w:eastAsia="pt-BR"/>
    </w:rPr>
  </w:style>
  <w:style w:type="paragraph" w:styleId="NoSpacing">
    <w:name w:val="No Spacing"/>
    <w:qFormat/>
    <w:rsid w:val="00e14571"/>
    <w:pPr>
      <w:widowControl/>
      <w:suppressAutoHyphens w:val="true"/>
      <w:bidi w:val="0"/>
      <w:spacing w:before="0" w:after="0"/>
      <w:jc w:val="left"/>
    </w:pPr>
    <w:rPr>
      <w:rFonts w:ascii="Calibri" w:hAnsi="Calibri" w:eastAsia="Calibri" w:cs="Times New Roman"/>
      <w:color w:val="auto"/>
      <w:kern w:val="0"/>
      <w:sz w:val="22"/>
      <w:szCs w:val="22"/>
      <w:lang w:val="pt-BR" w:eastAsia="en-US" w:bidi="ar-SA"/>
    </w:rPr>
  </w:style>
  <w:style w:type="paragraph" w:styleId="TtuloemIngls" w:customStyle="1">
    <w:name w:val="Título em Inglês"/>
    <w:basedOn w:val="Normal"/>
    <w:autoRedefine/>
    <w:uiPriority w:val="1"/>
    <w:qFormat/>
    <w:rsid w:val="00a078a0"/>
    <w:pPr>
      <w:spacing w:lineRule="auto" w:line="240" w:before="240" w:after="240"/>
      <w:jc w:val="both"/>
    </w:pPr>
    <w:rPr>
      <w:rFonts w:ascii="Times New Roman" w:hAnsi="Times New Roman" w:eastAsia="Calibri" w:eastAsiaTheme="minorHAnsi"/>
      <w:bCs/>
      <w:sz w:val="28"/>
      <w:szCs w:val="28"/>
    </w:rPr>
  </w:style>
  <w:style w:type="paragraph" w:styleId="ListParagraph">
    <w:name w:val="List Paragraph"/>
    <w:basedOn w:val="Normal"/>
    <w:uiPriority w:val="34"/>
    <w:qFormat/>
    <w:rsid w:val="00290922"/>
    <w:pPr>
      <w:spacing w:before="0" w:after="200"/>
      <w:ind w:left="720" w:hanging="0"/>
      <w:contextualSpacing/>
    </w:pPr>
    <w:rPr/>
  </w:style>
  <w:style w:type="paragraph" w:styleId="NormalWeb">
    <w:name w:val="Normal (Web)"/>
    <w:basedOn w:val="Normal"/>
    <w:uiPriority w:val="99"/>
    <w:unhideWhenUsed/>
    <w:qFormat/>
    <w:rsid w:val="0075274e"/>
    <w:pPr>
      <w:spacing w:lineRule="auto" w:line="240" w:beforeAutospacing="1" w:afterAutospacing="1"/>
    </w:pPr>
    <w:rPr>
      <w:rFonts w:ascii="Times New Roman" w:hAnsi="Times New Roman" w:eastAsia="Times New Roman"/>
      <w:sz w:val="24"/>
      <w:szCs w:val="24"/>
      <w:lang w:eastAsia="pt-BR"/>
    </w:rPr>
  </w:style>
  <w:style w:type="paragraph" w:styleId="HTMLPreformatted">
    <w:name w:val="HTML Preformatted"/>
    <w:basedOn w:val="Normal"/>
    <w:link w:val="Pr-formataoHTMLChar"/>
    <w:uiPriority w:val="99"/>
    <w:semiHidden/>
    <w:unhideWhenUsed/>
    <w:qFormat/>
    <w:rsid w:val="004c075b"/>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pt-BR"/>
    </w:rPr>
  </w:style>
  <w:style w:type="paragraph" w:styleId="HTMLTopofForm">
    <w:name w:val="HTML Top of Form"/>
    <w:basedOn w:val="Normal"/>
    <w:next w:val="Normal"/>
    <w:link w:val="Partesuperior-zdoformulrioChar"/>
    <w:uiPriority w:val="99"/>
    <w:semiHidden/>
    <w:unhideWhenUsed/>
    <w:qFormat/>
    <w:rsid w:val="004c075b"/>
    <w:pPr>
      <w:pBdr>
        <w:bottom w:val="single" w:sz="6" w:space="1" w:color="000000"/>
      </w:pBdr>
      <w:spacing w:lineRule="auto" w:line="240" w:before="0" w:after="0"/>
      <w:jc w:val="center"/>
    </w:pPr>
    <w:rPr>
      <w:rFonts w:ascii="Arial" w:hAnsi="Arial" w:eastAsia="Times New Roman" w:cs="Arial"/>
      <w:vanish/>
      <w:sz w:val="16"/>
      <w:szCs w:val="16"/>
      <w:lang w:eastAsia="pt-BR"/>
    </w:rPr>
  </w:style>
  <w:style w:type="paragraph" w:styleId="Label" w:customStyle="1">
    <w:name w:val="label"/>
    <w:basedOn w:val="Normal"/>
    <w:qFormat/>
    <w:rsid w:val="00ce0913"/>
    <w:pPr>
      <w:spacing w:lineRule="auto" w:line="240" w:beforeAutospacing="1" w:afterAutospacing="1"/>
    </w:pPr>
    <w:rPr>
      <w:rFonts w:ascii="Times New Roman" w:hAnsi="Times New Roman" w:eastAsia="Times New Roman"/>
      <w:sz w:val="24"/>
      <w:szCs w:val="24"/>
      <w:lang w:eastAsia="pt-BR"/>
    </w:rPr>
  </w:style>
  <w:style w:type="paragraph" w:styleId="Ttulodondicealfabtico">
    <w:name w:val="Index Heading"/>
    <w:basedOn w:val="Ttulo"/>
    <w:pPr/>
    <w:rPr/>
  </w:style>
  <w:style w:type="paragraph" w:styleId="Ttulodosumrio">
    <w:name w:val="TOC Heading"/>
    <w:basedOn w:val="Ttulo1"/>
    <w:next w:val="Normal"/>
    <w:uiPriority w:val="39"/>
    <w:unhideWhenUsed/>
    <w:qFormat/>
    <w:rsid w:val="009a78b8"/>
    <w:pPr>
      <w:spacing w:lineRule="auto" w:line="259"/>
      <w:outlineLvl w:val="9"/>
    </w:pPr>
    <w:rPr>
      <w:lang w:eastAsia="pt-BR"/>
    </w:rPr>
  </w:style>
  <w:style w:type="paragraph" w:styleId="Sumrio1">
    <w:name w:val="TOC 1"/>
    <w:basedOn w:val="Normal"/>
    <w:next w:val="Normal"/>
    <w:autoRedefine/>
    <w:uiPriority w:val="39"/>
    <w:unhideWhenUsed/>
    <w:rsid w:val="001621c1"/>
    <w:pPr>
      <w:spacing w:lineRule="auto" w:line="360" w:before="0" w:after="0"/>
    </w:pPr>
    <w:rPr>
      <w:rFonts w:ascii="Times New Roman" w:hAnsi="Times New Roman"/>
    </w:rPr>
  </w:style>
  <w:style w:type="paragraph" w:styleId="Sumrio3">
    <w:name w:val="TOC 3"/>
    <w:basedOn w:val="Normal"/>
    <w:next w:val="Normal"/>
    <w:autoRedefine/>
    <w:uiPriority w:val="39"/>
    <w:unhideWhenUsed/>
    <w:rsid w:val="009a78b8"/>
    <w:pPr>
      <w:spacing w:before="0" w:after="100"/>
      <w:ind w:left="440" w:hanging="0"/>
    </w:pPr>
    <w:rPr/>
  </w:style>
  <w:style w:type="paragraph" w:styleId="Sumrio2">
    <w:name w:val="TOC 2"/>
    <w:basedOn w:val="Normal"/>
    <w:next w:val="Normal"/>
    <w:autoRedefine/>
    <w:uiPriority w:val="39"/>
    <w:unhideWhenUsed/>
    <w:rsid w:val="00b074a4"/>
    <w:pPr>
      <w:tabs>
        <w:tab w:val="clear" w:pos="708"/>
        <w:tab w:val="left" w:pos="567" w:leader="none"/>
        <w:tab w:val="right" w:pos="9061" w:leader="dot"/>
      </w:tabs>
      <w:spacing w:lineRule="auto" w:line="240" w:before="0" w:after="0"/>
      <w:ind w:left="221" w:hanging="0"/>
    </w:pPr>
    <w:rPr>
      <w:rFonts w:ascii="Times New Roman" w:hAnsi="Times New Roman"/>
    </w:rPr>
  </w:style>
  <w:style w:type="paragraph" w:styleId="Local" w:customStyle="1">
    <w:name w:val="local"/>
    <w:basedOn w:val="Normal"/>
    <w:uiPriority w:val="3"/>
    <w:qFormat/>
    <w:rsid w:val="00346a6c"/>
    <w:pPr>
      <w:spacing w:lineRule="auto" w:line="240" w:before="0" w:after="120"/>
      <w:jc w:val="center"/>
    </w:pPr>
    <w:rPr>
      <w:rFonts w:ascii="Arial" w:hAnsi="Arial" w:eastAsia="Times New Roman"/>
      <w:sz w:val="28"/>
      <w:szCs w:val="24"/>
      <w:lang w:eastAsia="pt-BR"/>
    </w:rPr>
  </w:style>
  <w:style w:type="paragraph" w:styleId="Show" w:customStyle="1">
    <w:name w:val="show"/>
    <w:basedOn w:val="Normal"/>
    <w:qFormat/>
    <w:rsid w:val="00a85408"/>
    <w:pPr>
      <w:spacing w:lineRule="auto" w:line="240" w:beforeAutospacing="1" w:afterAutospacing="1"/>
    </w:pPr>
    <w:rPr>
      <w:rFonts w:ascii="Times New Roman" w:hAnsi="Times New Roman" w:eastAsia="Times New Roman"/>
      <w:sz w:val="24"/>
      <w:szCs w:val="24"/>
      <w:lang w:eastAsia="pt-BR"/>
    </w:rPr>
  </w:style>
  <w:style w:type="paragraph" w:styleId="Annotationsubject">
    <w:name w:val="annotation subject"/>
    <w:basedOn w:val="Annotationtext"/>
    <w:next w:val="Annotationtext"/>
    <w:link w:val="AssuntodocomentrioChar"/>
    <w:uiPriority w:val="99"/>
    <w:semiHidden/>
    <w:unhideWhenUsed/>
    <w:qFormat/>
    <w:rsid w:val="0066099c"/>
    <w:pPr>
      <w:spacing w:before="0" w:after="200"/>
    </w:pPr>
    <w:rPr>
      <w:rFonts w:ascii="Calibri" w:hAnsi="Calibri" w:eastAsia="Calibri"/>
      <w:b/>
      <w:bCs/>
      <w:lang w:val="pt-BR" w:eastAsia="en-US"/>
    </w:rPr>
  </w:style>
  <w:style w:type="paragraph" w:styleId="Revision">
    <w:name w:val="Revision"/>
    <w:uiPriority w:val="99"/>
    <w:semiHidden/>
    <w:qFormat/>
    <w:rsid w:val="00871bb1"/>
    <w:pPr>
      <w:widowControl/>
      <w:suppressAutoHyphens w:val="true"/>
      <w:bidi w:val="0"/>
      <w:spacing w:before="0" w:after="0"/>
      <w:jc w:val="left"/>
    </w:pPr>
    <w:rPr>
      <w:rFonts w:ascii="Calibri" w:hAnsi="Calibri" w:eastAsia="Calibri" w:cs="Times New Roman"/>
      <w:color w:val="auto"/>
      <w:kern w:val="0"/>
      <w:sz w:val="22"/>
      <w:szCs w:val="22"/>
      <w:lang w:val="pt-BR" w:eastAsia="en-US" w:bidi="ar-SA"/>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59"/>
    <w:rsid w:val="00aa32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yperlink" Target="https://doi.org/10.1007/978-1-4614-8636-7" TargetMode="External"/><Relationship Id="rId8" Type="http://schemas.openxmlformats.org/officeDocument/2006/relationships/hyperlink" Target="https://doi.org/10.1016/j.bse.2021.104381" TargetMode="External"/><Relationship Id="rId9" Type="http://schemas.openxmlformats.org/officeDocument/2006/relationships/hyperlink" Target="https://doi.org/10.1016/j.jep.2012.02.025" TargetMode="External"/><Relationship Id="rId10" Type="http://schemas.openxmlformats.org/officeDocument/2006/relationships/hyperlink" Target="https://doi.org/10.1016/j.jep.2012.06.006" TargetMode="External"/><Relationship Id="rId11" Type="http://schemas.openxmlformats.org/officeDocument/2006/relationships/hyperlink" Target="https://doi.org/10.1016/j.jep.2012.04.054" TargetMode="External"/><Relationship Id="rId12" Type="http://schemas.openxmlformats.org/officeDocument/2006/relationships/hyperlink" Target="https://doi.org/10.1111/j.1523-1739.2005.00702.x" TargetMode="External"/><Relationship Id="rId13" Type="http://schemas.openxmlformats.org/officeDocument/2006/relationships/hyperlink" Target="https://doi.org/10.1186/s13002-015-0058-0" TargetMode="External"/><Relationship Id="rId14" Type="http://schemas.openxmlformats.org/officeDocument/2006/relationships/hyperlink" Target="https://doi.org/10.1038/35002501" TargetMode="External"/><Relationship Id="rId15" Type="http://schemas.openxmlformats.org/officeDocument/2006/relationships/hyperlink" Target="https://doi.org/10.1016/j.bjm.2016.10.001" TargetMode="External"/><Relationship Id="rId16" Type="http://schemas.openxmlformats.org/officeDocument/2006/relationships/hyperlink" Target="https://doi.org/10.1016/j.bjp.2018.03.002" TargetMode="External"/><Relationship Id="rId17" Type="http://schemas.openxmlformats.org/officeDocument/2006/relationships/hyperlink" Target="https://doi.org/10.1016/S0041-0101(00)00154-9" TargetMode="External"/><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footnotes" Target="footnotes.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Relationship Id="rId27" Type="http://schemas.openxmlformats.org/officeDocument/2006/relationships/customXml" Target="../customXml/item2.xml"/>
</Relationships>
</file>

<file path=word/_rels/footnotes.xml.rels><?xml version="1.0" encoding="UTF-8"?>
<Relationships xmlns="http://schemas.openxmlformats.org/package/2006/relationships"><Relationship Id="rId1" Type="http://schemas.openxmlformats.org/officeDocument/2006/relationships/hyperlink" Target="https://orcid.org/0000-0000-0000-0000" TargetMode="External"/><Relationship Id="rId2" Type="http://schemas.openxmlformats.org/officeDocument/2006/relationships/hyperlink" Target="http://lattes.cnpq.br/0000000000000000000" TargetMode="External"/><Relationship Id="rId3" Type="http://schemas.openxmlformats.org/officeDocument/2006/relationships/hyperlink" Target="mailto:autor1@mail.com" TargetMode="External"/><Relationship Id="rId4" Type="http://schemas.openxmlformats.org/officeDocument/2006/relationships/hyperlink" Target="https://orcid.org/0000-0003-3757-2312" TargetMode="External"/><Relationship Id="rId5" Type="http://schemas.openxmlformats.org/officeDocument/2006/relationships/hyperlink" Target="http://lattes.cnpq.br/0000000000000000000" TargetMode="External"/><Relationship Id="rId6" Type="http://schemas.openxmlformats.org/officeDocument/2006/relationships/hyperlink" Target="mailto:maria.soliveira@ufob.edu.br" TargetMode="External"/><Relationship Id="rId7" Type="http://schemas.openxmlformats.org/officeDocument/2006/relationships/hyperlink" Target="mailto:autor2@mail.com" TargetMode="External"/><Relationship Id="rId8" Type="http://schemas.openxmlformats.org/officeDocument/2006/relationships/hyperlink" Target="https://orcid.org/0000-0000-0000-0000" TargetMode="External"/><Relationship Id="rId9" Type="http://schemas.openxmlformats.org/officeDocument/2006/relationships/hyperlink" Target="http://lattes.cnpq.br/0000000000000000000" TargetMode="External"/><Relationship Id="rId10" Type="http://schemas.openxmlformats.org/officeDocument/2006/relationships/hyperlink" Target="mailto:victor.a8410@ufob.edu.br" TargetMode="External"/><Relationship Id="rId11" Type="http://schemas.openxmlformats.org/officeDocument/2006/relationships/hyperlink" Target="https://orcid.org/0000-0000-0000-0000" TargetMode="External"/><Relationship Id="rId12" Type="http://schemas.openxmlformats.org/officeDocument/2006/relationships/hyperlink" Target="https://orcid.org/0000-0000-0000-0000" TargetMode="External"/><Relationship Id="rId13" Type="http://schemas.openxmlformats.org/officeDocument/2006/relationships/hyperlink" Target="http://lattes.cnpq.br/0315367824411269" TargetMode="External"/>
</Relationships>
</file>

<file path=word/_rels/header1.xml.rels><?xml version="1.0" encoding="UTF-8"?>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7.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1262F494-43B8-4143-B03E-5946D907CD24}">
  <ds:schemaRefs>
    <ds:schemaRef ds:uri="http://schemas.openxmlformats.org/officeDocument/2006/bibliography"/>
  </ds:schemaRefs>
</ds:datastoreItem>
</file>

<file path=customXml/itemProps2.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468</TotalTime>
  <Application>LibreOffice/7.5.3.2$Windows_X86_64 LibreOffice_project/9f56dff12ba03b9acd7730a5a481eea045e468f3</Application>
  <AppVersion>15.0000</AppVersion>
  <Pages>19</Pages>
  <Words>6324</Words>
  <Characters>43027</Characters>
  <CharactersWithSpaces>49098</CharactersWithSpaces>
  <Paragraphs>370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2020-11-24T11:48:00Z</dcterms:created>
  <dc:creator/>
  <dc:description/>
  <dc:language>pt-BR</dc:language>
  <cp:lastModifiedBy/>
  <dcterms:modified xsi:type="dcterms:W3CDTF">2026-03-11T12:00:40Z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